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7E5285" w:rsidRPr="00B57069">
              <w:rPr>
                <w:rFonts w:asciiTheme="majorHAnsi" w:hAnsiTheme="majorHAnsi"/>
                <w:b/>
                <w:noProof/>
              </w:rPr>
              <w:t>Microbiology (bacteriology, virusology, parasitology)</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7E5285" w:rsidRPr="00B57069">
              <w:rPr>
                <w:rFonts w:asciiTheme="majorHAnsi" w:hAnsiTheme="majorHAnsi"/>
                <w:b/>
                <w:noProof/>
              </w:rPr>
              <w:t>RE1109</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1B3E43" w:rsidRDefault="009424D1" w:rsidP="00C01D5F">
            <w:pPr>
              <w:rPr>
                <w:rFonts w:asciiTheme="majorHAnsi" w:hAnsiTheme="majorHAnsi"/>
                <w:bCs/>
              </w:rPr>
            </w:pPr>
            <w:r>
              <w:rPr>
                <w:rFonts w:asciiTheme="majorHAnsi" w:hAnsiTheme="majorHAnsi"/>
                <w:b/>
              </w:rPr>
              <w:fldChar w:fldCharType="begin"/>
            </w:r>
            <w:r>
              <w:rPr>
                <w:rFonts w:asciiTheme="majorHAnsi" w:hAnsiTheme="majorHAnsi"/>
                <w:b/>
              </w:rPr>
              <w:instrText xml:space="preserve"> MERGEFIELD "Titular_curs" </w:instrText>
            </w:r>
            <w:r>
              <w:rPr>
                <w:rFonts w:asciiTheme="majorHAnsi" w:hAnsiTheme="majorHAnsi"/>
                <w:b/>
              </w:rPr>
              <w:fldChar w:fldCharType="separate"/>
            </w:r>
            <w:r>
              <w:rPr>
                <w:rFonts w:asciiTheme="majorHAnsi" w:hAnsiTheme="majorHAnsi"/>
                <w:b/>
                <w:noProof/>
              </w:rPr>
              <w:t>Associate Professor Constantin Munteanu</w:t>
            </w:r>
            <w:r>
              <w:rPr>
                <w:rFonts w:asciiTheme="majorHAnsi" w:hAnsiTheme="majorHAnsi"/>
                <w:b/>
              </w:rPr>
              <w:fldChar w:fldCharType="end"/>
            </w:r>
            <w:r>
              <w:rPr>
                <w:rFonts w:asciiTheme="majorHAnsi" w:hAnsiTheme="majorHAnsi"/>
                <w:b/>
              </w:rPr>
              <w:t>, PhD</w:t>
            </w:r>
            <w:r w:rsidR="007334F1" w:rsidRPr="001B3E43">
              <w:rPr>
                <w:rFonts w:asciiTheme="majorHAnsi" w:hAnsiTheme="majorHAnsi"/>
                <w:bCs/>
              </w:rPr>
              <w:fldChar w:fldCharType="begin"/>
            </w:r>
            <w:r w:rsidR="007334F1" w:rsidRPr="001B3E43">
              <w:rPr>
                <w:rFonts w:asciiTheme="majorHAnsi" w:hAnsiTheme="majorHAnsi"/>
                <w:bCs/>
              </w:rPr>
              <w:instrText xml:space="preserve"> MERGEFIELD "Titular_curs" </w:instrText>
            </w:r>
            <w:r w:rsidR="007334F1" w:rsidRPr="001B3E43">
              <w:rPr>
                <w:rFonts w:asciiTheme="majorHAnsi" w:hAnsiTheme="majorHAnsi"/>
                <w:bCs/>
              </w:rPr>
              <w:fldChar w:fldCharType="end"/>
            </w:r>
          </w:p>
        </w:tc>
      </w:tr>
      <w:tr w:rsidR="001B3E43" w:rsidRPr="00386A2F" w:rsidTr="00384A9B">
        <w:tc>
          <w:tcPr>
            <w:tcW w:w="5211" w:type="dxa"/>
            <w:gridSpan w:val="4"/>
            <w:tcBorders>
              <w:bottom w:val="single" w:sz="4" w:space="0" w:color="auto"/>
            </w:tcBorders>
            <w:shd w:val="clear" w:color="auto" w:fill="F2F2F2" w:themeFill="background1" w:themeFillShade="F2"/>
          </w:tcPr>
          <w:p w:rsidR="001B3E43" w:rsidRPr="00AB6940" w:rsidRDefault="001B3E43" w:rsidP="001B3E43">
            <w:pPr>
              <w:rPr>
                <w:rFonts w:asciiTheme="majorHAnsi" w:hAnsiTheme="majorHAnsi"/>
              </w:rPr>
            </w:pPr>
            <w:r w:rsidRPr="00AB6940">
              <w:rPr>
                <w:rFonts w:asciiTheme="majorHAnsi" w:hAnsiTheme="majorHAnsi" w:cs="TimesNewRoman"/>
                <w:lang w:bidi="ne-NP"/>
              </w:rPr>
              <w:t>2.3</w:t>
            </w:r>
            <w:r>
              <w:rPr>
                <w:rFonts w:asciiTheme="majorHAnsi" w:hAnsiTheme="majorHAnsi" w:cs="TimesNewRoman"/>
                <w:lang w:bidi="ne-NP"/>
              </w:rPr>
              <w:t>.</w:t>
            </w:r>
            <w:r w:rsidRPr="00AB6940">
              <w:rPr>
                <w:rFonts w:asciiTheme="majorHAnsi" w:hAnsiTheme="majorHAnsi" w:cs="TimesNewRoman"/>
                <w:lang w:bidi="ne-NP"/>
              </w:rPr>
              <w:t xml:space="preserve"> </w:t>
            </w:r>
            <w:r w:rsidRPr="00E3127B">
              <w:rPr>
                <w:rFonts w:asciiTheme="majorHAnsi" w:hAnsiTheme="majorHAnsi" w:cs="TimesNewRoman"/>
                <w:lang w:bidi="ne-NP"/>
              </w:rPr>
              <w:t xml:space="preserve">Teaching staff in charge with </w:t>
            </w:r>
            <w:r>
              <w:rPr>
                <w:rFonts w:asciiTheme="majorHAnsi" w:hAnsiTheme="majorHAnsi" w:cs="TimesNewRoman"/>
                <w:lang w:bidi="ne-NP"/>
              </w:rPr>
              <w:t>practical</w:t>
            </w:r>
            <w:r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1B3E43" w:rsidRPr="001B3E43" w:rsidRDefault="009424D1" w:rsidP="001B3E43">
            <w:pPr>
              <w:rPr>
                <w:rFonts w:asciiTheme="majorHAnsi" w:hAnsiTheme="majorHAnsi"/>
                <w:bCs/>
              </w:rPr>
            </w:pPr>
            <w:r>
              <w:rPr>
                <w:rFonts w:asciiTheme="majorHAnsi" w:hAnsiTheme="majorHAnsi"/>
                <w:b/>
              </w:rPr>
              <w:fldChar w:fldCharType="begin"/>
            </w:r>
            <w:r>
              <w:rPr>
                <w:rFonts w:asciiTheme="majorHAnsi" w:hAnsiTheme="majorHAnsi"/>
                <w:b/>
              </w:rPr>
              <w:instrText xml:space="preserve"> MERGEFIELD "Titular_curs" </w:instrText>
            </w:r>
            <w:r>
              <w:rPr>
                <w:rFonts w:asciiTheme="majorHAnsi" w:hAnsiTheme="majorHAnsi"/>
                <w:b/>
              </w:rPr>
              <w:fldChar w:fldCharType="separate"/>
            </w:r>
            <w:r>
              <w:rPr>
                <w:rFonts w:asciiTheme="majorHAnsi" w:hAnsiTheme="majorHAnsi"/>
                <w:b/>
                <w:noProof/>
              </w:rPr>
              <w:t>Associate Professor Constantin Munteanu</w:t>
            </w:r>
            <w:r>
              <w:rPr>
                <w:rFonts w:asciiTheme="majorHAnsi" w:hAnsiTheme="majorHAnsi"/>
                <w:b/>
              </w:rPr>
              <w:fldChar w:fldCharType="end"/>
            </w:r>
            <w:r>
              <w:rPr>
                <w:rFonts w:asciiTheme="majorHAnsi" w:hAnsiTheme="majorHAnsi"/>
                <w:b/>
              </w:rPr>
              <w:t>, PhD</w:t>
            </w:r>
            <w:r w:rsidR="001B3E43" w:rsidRPr="001B3E43">
              <w:rPr>
                <w:rFonts w:asciiTheme="majorHAnsi" w:hAnsiTheme="majorHAnsi"/>
                <w:bCs/>
              </w:rPr>
              <w:fldChar w:fldCharType="begin"/>
            </w:r>
            <w:r w:rsidR="001B3E43" w:rsidRPr="001B3E43">
              <w:rPr>
                <w:rFonts w:asciiTheme="majorHAnsi" w:hAnsiTheme="majorHAnsi"/>
                <w:bCs/>
              </w:rPr>
              <w:instrText xml:space="preserve"> MERGEFIELD "Titular_curs" </w:instrText>
            </w:r>
            <w:r w:rsidR="001B3E43" w:rsidRPr="001B3E43">
              <w:rPr>
                <w:rFonts w:asciiTheme="majorHAnsi" w:hAnsiTheme="majorHAnsi"/>
                <w:bCs/>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7E5285"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7E5285"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7E5285"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7E5285"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7E5285"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9424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9424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9424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9424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9424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9424D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7</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7E5285"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7E5285"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1B3E43" w:rsidRPr="008C0CCD" w:rsidTr="006B7D20">
        <w:tc>
          <w:tcPr>
            <w:tcW w:w="2235" w:type="dxa"/>
            <w:shd w:val="clear" w:color="auto" w:fill="F2F2F2" w:themeFill="background1" w:themeFillShade="F2"/>
            <w:vAlign w:val="center"/>
          </w:tcPr>
          <w:p w:rsidR="001B3E43" w:rsidRPr="008C0CCD" w:rsidRDefault="001B3E43" w:rsidP="001B3E43">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rsidR="001B3E43" w:rsidRPr="008C0CCD" w:rsidRDefault="001B3E43" w:rsidP="001B3E43">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K</w:t>
            </w:r>
            <w:r w:rsidRPr="001B3E43">
              <w:rPr>
                <w:rFonts w:asciiTheme="majorHAnsi" w:hAnsiTheme="majorHAnsi" w:cs="TimesNewRoman,Bold"/>
                <w:szCs w:val="20"/>
                <w:lang w:bidi="ne-NP"/>
              </w:rPr>
              <w:t>nowledge of the principles of biology, including cell structure and function</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1B3E43" w:rsidP="00C71699">
            <w:pPr>
              <w:autoSpaceDE w:val="0"/>
              <w:autoSpaceDN w:val="0"/>
              <w:adjustRightInd w:val="0"/>
              <w:jc w:val="both"/>
              <w:rPr>
                <w:rFonts w:asciiTheme="majorHAnsi" w:hAnsiTheme="majorHAnsi" w:cs="TimesNewRoman,Bold"/>
                <w:szCs w:val="20"/>
                <w:lang w:bidi="ne-NP"/>
              </w:rPr>
            </w:pPr>
            <w:r w:rsidRPr="001B3E43">
              <w:rPr>
                <w:rFonts w:asciiTheme="majorHAnsi" w:hAnsiTheme="majorHAnsi" w:cs="TimesNewRoman,Bold"/>
                <w:szCs w:val="20"/>
                <w:lang w:bidi="ne-NP"/>
              </w:rPr>
              <w:t xml:space="preserve">Laboratory Techniques: ability to work with laboratory techniques </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1B3E43" w:rsidRPr="008C0CCD" w:rsidTr="00D750EE">
        <w:tc>
          <w:tcPr>
            <w:tcW w:w="2235" w:type="dxa"/>
            <w:shd w:val="clear" w:color="auto" w:fill="F2F2F2" w:themeFill="background1" w:themeFillShade="F2"/>
            <w:vAlign w:val="center"/>
          </w:tcPr>
          <w:p w:rsidR="001B3E43" w:rsidRPr="008C0CCD" w:rsidRDefault="001B3E43" w:rsidP="001B3E43">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shd w:val="clear" w:color="auto" w:fill="auto"/>
          </w:tcPr>
          <w:p w:rsidR="001B3E43" w:rsidRDefault="001B3E43" w:rsidP="001B3E43">
            <w:r w:rsidRPr="00745B63">
              <w:t>Video logistics support.</w:t>
            </w:r>
          </w:p>
        </w:tc>
      </w:tr>
      <w:tr w:rsidR="001B3E43" w:rsidRPr="008C0CCD" w:rsidTr="00D750EE">
        <w:tc>
          <w:tcPr>
            <w:tcW w:w="2235" w:type="dxa"/>
            <w:shd w:val="clear" w:color="auto" w:fill="F2F2F2" w:themeFill="background1" w:themeFillShade="F2"/>
            <w:vAlign w:val="center"/>
          </w:tcPr>
          <w:p w:rsidR="001B3E43" w:rsidRPr="008C0CCD" w:rsidRDefault="001B3E43" w:rsidP="001B3E43">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rsidR="001B3E43" w:rsidRDefault="001B3E43" w:rsidP="001B3E43">
            <w:r w:rsidRPr="00745B63">
              <w:t>Video logistics support.</w:t>
            </w:r>
          </w:p>
          <w:p w:rsidR="001B3E43" w:rsidRDefault="001B3E43" w:rsidP="001B3E43">
            <w:r w:rsidRPr="001B3E43">
              <w:t>Laboratory, Microscope, Bacteriology Set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1679E8">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1B3E43" w:rsidP="001679E8">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9424D1" w:rsidRDefault="001B3E43" w:rsidP="001679E8">
            <w:pPr>
              <w:pStyle w:val="Default"/>
              <w:jc w:val="both"/>
              <w:rPr>
                <w:rFonts w:asciiTheme="majorHAnsi" w:hAnsiTheme="majorHAnsi" w:cs="TimesNewRoman,Bold"/>
                <w:bCs/>
                <w:sz w:val="20"/>
                <w:szCs w:val="20"/>
                <w:lang w:val="ro-RO" w:bidi="ne-NP"/>
              </w:rPr>
            </w:pPr>
            <w:r w:rsidRPr="009424D1">
              <w:rPr>
                <w:rFonts w:asciiTheme="majorHAnsi" w:hAnsiTheme="majorHAnsi" w:cs="TimesNewRoman,Bold"/>
                <w:bCs/>
                <w:sz w:val="20"/>
                <w:szCs w:val="20"/>
                <w:lang w:val="ro-RO" w:bidi="ne-NP"/>
              </w:rPr>
              <w:t>Obtaining theoretical and practical knowledge on bacterial infections as well as knowledge on bacteriological diagnosis in the main infectious syndromes.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1679E8">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1B3E43" w:rsidP="001679E8">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6953F9" w:rsidRPr="009424D1" w:rsidRDefault="006953F9" w:rsidP="001679E8">
            <w:pPr>
              <w:pStyle w:val="Default"/>
              <w:rPr>
                <w:rFonts w:asciiTheme="majorHAnsi" w:hAnsiTheme="majorHAnsi" w:cs="TimesNewRoman,Bold"/>
                <w:bCs/>
                <w:sz w:val="20"/>
                <w:szCs w:val="20"/>
                <w:lang w:val="ro-RO" w:bidi="ne-NP"/>
              </w:rPr>
            </w:pPr>
            <w:r w:rsidRPr="009424D1">
              <w:rPr>
                <w:rFonts w:asciiTheme="majorHAnsi" w:hAnsiTheme="majorHAnsi" w:cs="TimesNewRoman,Bold"/>
                <w:bCs/>
                <w:sz w:val="20"/>
                <w:szCs w:val="20"/>
                <w:lang w:val="ro-RO" w:bidi="ne-NP"/>
              </w:rPr>
              <w:t>To acquire skills for:</w:t>
            </w:r>
          </w:p>
          <w:p w:rsidR="006953F9" w:rsidRPr="009424D1" w:rsidRDefault="006953F9" w:rsidP="001679E8">
            <w:pPr>
              <w:pStyle w:val="Default"/>
              <w:rPr>
                <w:rFonts w:asciiTheme="majorHAnsi" w:hAnsiTheme="majorHAnsi" w:cs="TimesNewRoman,Bold"/>
                <w:bCs/>
                <w:sz w:val="20"/>
                <w:szCs w:val="20"/>
                <w:lang w:val="ro-RO" w:bidi="ne-NP"/>
              </w:rPr>
            </w:pPr>
            <w:r w:rsidRPr="009424D1">
              <w:rPr>
                <w:rFonts w:asciiTheme="majorHAnsi" w:hAnsiTheme="majorHAnsi" w:cs="TimesNewRoman,Bold"/>
                <w:bCs/>
                <w:sz w:val="20"/>
                <w:szCs w:val="20"/>
                <w:lang w:val="ro-RO" w:bidi="ne-NP"/>
              </w:rPr>
              <w:t>• prevention of microbial contamination in relation to various risk conditions encountered</w:t>
            </w:r>
          </w:p>
          <w:p w:rsidR="006953F9" w:rsidRPr="009424D1" w:rsidRDefault="006953F9" w:rsidP="001679E8">
            <w:pPr>
              <w:pStyle w:val="Default"/>
              <w:rPr>
                <w:rFonts w:asciiTheme="majorHAnsi" w:hAnsiTheme="majorHAnsi" w:cs="TimesNewRoman,Bold"/>
                <w:bCs/>
                <w:sz w:val="20"/>
                <w:szCs w:val="20"/>
                <w:lang w:val="ro-RO" w:bidi="ne-NP"/>
              </w:rPr>
            </w:pPr>
            <w:r w:rsidRPr="009424D1">
              <w:rPr>
                <w:rFonts w:asciiTheme="majorHAnsi" w:hAnsiTheme="majorHAnsi" w:cs="TimesNewRoman,Bold"/>
                <w:bCs/>
                <w:sz w:val="20"/>
                <w:szCs w:val="20"/>
                <w:lang w:val="ro-RO" w:bidi="ne-NP"/>
              </w:rPr>
              <w:t>• performing a smear for bacteriological examination;</w:t>
            </w:r>
          </w:p>
          <w:p w:rsidR="00331357" w:rsidRPr="00993891" w:rsidRDefault="006953F9" w:rsidP="001679E8">
            <w:pPr>
              <w:pStyle w:val="Default"/>
              <w:rPr>
                <w:rFonts w:asciiTheme="majorHAnsi" w:hAnsiTheme="majorHAnsi" w:cs="TimesNewRoman,Bold"/>
                <w:b/>
                <w:bCs/>
                <w:sz w:val="20"/>
                <w:szCs w:val="20"/>
                <w:lang w:val="ro-RO" w:bidi="ne-NP"/>
              </w:rPr>
            </w:pPr>
            <w:r w:rsidRPr="009424D1">
              <w:rPr>
                <w:rFonts w:asciiTheme="majorHAnsi" w:hAnsiTheme="majorHAnsi" w:cs="TimesNewRoman,Bold"/>
                <w:bCs/>
                <w:sz w:val="20"/>
                <w:szCs w:val="20"/>
                <w:lang w:val="ro-RO" w:bidi="ne-NP"/>
              </w:rPr>
              <w:t>• preliminary identification of pathogenic microorganisms;</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1679E8">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6953F9" w:rsidP="001679E8">
            <w:pPr>
              <w:autoSpaceDE w:val="0"/>
              <w:autoSpaceDN w:val="0"/>
              <w:adjustRightInd w:val="0"/>
              <w:spacing w:line="240" w:lineRule="auto"/>
              <w:jc w:val="both"/>
              <w:rPr>
                <w:rFonts w:asciiTheme="majorHAnsi" w:hAnsiTheme="majorHAnsi"/>
                <w:szCs w:val="20"/>
              </w:rPr>
            </w:pPr>
            <w:r w:rsidRPr="006953F9">
              <w:rPr>
                <w:rFonts w:asciiTheme="majorHAnsi" w:hAnsiTheme="majorHAnsi"/>
                <w:szCs w:val="20"/>
              </w:rPr>
              <w:t>Understanding the general principles of microbiology</w:t>
            </w:r>
          </w:p>
        </w:tc>
      </w:tr>
      <w:tr w:rsidR="00CF6B2D" w:rsidRPr="008C0CCD" w:rsidTr="00910019">
        <w:tc>
          <w:tcPr>
            <w:tcW w:w="2358" w:type="dxa"/>
            <w:shd w:val="clear" w:color="auto" w:fill="F2F2F2" w:themeFill="background1" w:themeFillShade="F2"/>
            <w:vAlign w:val="center"/>
          </w:tcPr>
          <w:p w:rsidR="00CF6B2D" w:rsidRPr="008C0CCD" w:rsidRDefault="00D73F71" w:rsidP="001679E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F6B2D" w:rsidRPr="008C0CCD" w:rsidRDefault="006953F9" w:rsidP="001679E8">
            <w:pPr>
              <w:autoSpaceDE w:val="0"/>
              <w:autoSpaceDN w:val="0"/>
              <w:adjustRightInd w:val="0"/>
              <w:spacing w:line="240" w:lineRule="auto"/>
              <w:jc w:val="both"/>
              <w:rPr>
                <w:rFonts w:asciiTheme="majorHAnsi" w:hAnsiTheme="majorHAnsi" w:cs="TimesNewRoman"/>
                <w:szCs w:val="20"/>
                <w:lang w:bidi="ne-NP"/>
              </w:rPr>
            </w:pPr>
            <w:r w:rsidRPr="006953F9">
              <w:rPr>
                <w:rFonts w:asciiTheme="majorHAnsi" w:hAnsiTheme="majorHAnsi" w:cs="TimesNewRoman"/>
                <w:szCs w:val="20"/>
                <w:lang w:bidi="ne-NP"/>
              </w:rPr>
              <w:t>Communication – the use of specific terminology, the identification of the objectives to be achieved, the available resources, the conditions for their completion, the work stages, the working times, the related deadlines and the related risks, the identification of the roles and responsibilities in a multidisciplinary team and the application of techniques of communication and effective work within the team</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rsidTr="006953F9">
        <w:tc>
          <w:tcPr>
            <w:tcW w:w="6714" w:type="dxa"/>
            <w:gridSpan w:val="2"/>
            <w:shd w:val="clear" w:color="auto" w:fill="F2F2F2" w:themeFill="background1" w:themeFillShade="F2"/>
            <w:vAlign w:val="center"/>
          </w:tcPr>
          <w:p w:rsidR="00CF6B2D" w:rsidRPr="008C0CCD" w:rsidRDefault="00D73F71" w:rsidP="001679E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rsidR="00CF6B2D" w:rsidRPr="008C0CCD" w:rsidRDefault="006B7D20" w:rsidP="001679E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1679E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6953F9" w:rsidRPr="008C0CCD" w:rsidTr="006953F9">
        <w:tc>
          <w:tcPr>
            <w:tcW w:w="451"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tcPr>
          <w:p w:rsidR="006953F9" w:rsidRPr="00DD2996" w:rsidRDefault="006953F9" w:rsidP="001679E8">
            <w:pPr>
              <w:spacing w:line="240" w:lineRule="auto"/>
            </w:pPr>
            <w:r w:rsidRPr="00DD2996">
              <w:t>The history of microbiology. The world of microorganisms. Biological, taxonomic and pathogenetic meanings of bacterial structures</w:t>
            </w:r>
          </w:p>
        </w:tc>
        <w:tc>
          <w:tcPr>
            <w:tcW w:w="1995"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20AD8">
              <w:rPr>
                <w:szCs w:val="20"/>
              </w:rPr>
              <w:t>P</w:t>
            </w:r>
            <w:r>
              <w:rPr>
                <w:szCs w:val="20"/>
              </w:rPr>
              <w:t>PT</w:t>
            </w:r>
            <w:r w:rsidRPr="00220AD8">
              <w:rPr>
                <w:szCs w:val="20"/>
              </w:rPr>
              <w:t xml:space="preserve"> support</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8C0CCD" w:rsidTr="006953F9">
        <w:tc>
          <w:tcPr>
            <w:tcW w:w="451"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tcPr>
          <w:p w:rsidR="006953F9" w:rsidRPr="00DD2996" w:rsidRDefault="006953F9" w:rsidP="001679E8">
            <w:pPr>
              <w:spacing w:line="240" w:lineRule="auto"/>
            </w:pPr>
            <w:r w:rsidRPr="00DD2996">
              <w:t>Viruses: structure, replication, virus-host cell relations, viral taxonomy, bacteriophages.</w:t>
            </w:r>
          </w:p>
        </w:tc>
        <w:tc>
          <w:tcPr>
            <w:tcW w:w="1995"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20AD8">
              <w:rPr>
                <w:szCs w:val="20"/>
              </w:rPr>
              <w:t>P</w:t>
            </w:r>
            <w:r>
              <w:rPr>
                <w:szCs w:val="20"/>
              </w:rPr>
              <w:t>PT</w:t>
            </w:r>
            <w:r w:rsidRPr="00220AD8">
              <w:rPr>
                <w:szCs w:val="20"/>
              </w:rPr>
              <w:t xml:space="preserve"> support</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8C0CCD" w:rsidTr="006953F9">
        <w:tc>
          <w:tcPr>
            <w:tcW w:w="451"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tcPr>
          <w:p w:rsidR="006953F9" w:rsidRPr="00DD2996" w:rsidRDefault="006953F9" w:rsidP="001679E8">
            <w:pPr>
              <w:spacing w:line="240" w:lineRule="auto"/>
            </w:pPr>
            <w:r w:rsidRPr="00DD2996">
              <w:t>Nutrition, growth and cultivation of bacteria. Microbial genetics</w:t>
            </w:r>
          </w:p>
        </w:tc>
        <w:tc>
          <w:tcPr>
            <w:tcW w:w="1995"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20AD8">
              <w:rPr>
                <w:szCs w:val="20"/>
              </w:rPr>
              <w:t>P</w:t>
            </w:r>
            <w:r>
              <w:rPr>
                <w:szCs w:val="20"/>
              </w:rPr>
              <w:t>PT</w:t>
            </w:r>
            <w:r w:rsidRPr="00220AD8">
              <w:rPr>
                <w:szCs w:val="20"/>
              </w:rPr>
              <w:t xml:space="preserve"> support</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8C0CCD" w:rsidTr="006953F9">
        <w:tc>
          <w:tcPr>
            <w:tcW w:w="451"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tcPr>
          <w:p w:rsidR="006953F9" w:rsidRPr="00DD2996" w:rsidRDefault="006953F9" w:rsidP="001679E8">
            <w:pPr>
              <w:spacing w:line="240" w:lineRule="auto"/>
            </w:pPr>
            <w:r w:rsidRPr="00DD2996">
              <w:t>Microorganism-human host relationships. Indigenous microbiota</w:t>
            </w:r>
          </w:p>
        </w:tc>
        <w:tc>
          <w:tcPr>
            <w:tcW w:w="1995"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20AD8">
              <w:rPr>
                <w:szCs w:val="20"/>
              </w:rPr>
              <w:t>P</w:t>
            </w:r>
            <w:r>
              <w:rPr>
                <w:szCs w:val="20"/>
              </w:rPr>
              <w:t>PT</w:t>
            </w:r>
            <w:r w:rsidRPr="00220AD8">
              <w:rPr>
                <w:szCs w:val="20"/>
              </w:rPr>
              <w:t xml:space="preserve"> support</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8C0CCD" w:rsidTr="006953F9">
        <w:tc>
          <w:tcPr>
            <w:tcW w:w="451"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tcPr>
          <w:p w:rsidR="006953F9" w:rsidRPr="00DD2996" w:rsidRDefault="006953F9" w:rsidP="001679E8">
            <w:pPr>
              <w:spacing w:line="240" w:lineRule="auto"/>
            </w:pPr>
            <w:r w:rsidRPr="00DD2996">
              <w:t>Pathogenicity of mycoorganisms and anti-infective defense. The infection</w:t>
            </w:r>
          </w:p>
        </w:tc>
        <w:tc>
          <w:tcPr>
            <w:tcW w:w="1995"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20AD8">
              <w:rPr>
                <w:szCs w:val="20"/>
              </w:rPr>
              <w:t>P</w:t>
            </w:r>
            <w:r>
              <w:rPr>
                <w:szCs w:val="20"/>
              </w:rPr>
              <w:t>PT</w:t>
            </w:r>
            <w:r w:rsidRPr="00220AD8">
              <w:rPr>
                <w:szCs w:val="20"/>
              </w:rPr>
              <w:t xml:space="preserve"> support</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8C0CCD" w:rsidTr="006953F9">
        <w:tc>
          <w:tcPr>
            <w:tcW w:w="451"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tcPr>
          <w:p w:rsidR="006953F9" w:rsidRPr="00DD2996" w:rsidRDefault="006953F9" w:rsidP="001679E8">
            <w:pPr>
              <w:spacing w:line="240" w:lineRule="auto"/>
            </w:pPr>
            <w:r w:rsidRPr="00DD2996">
              <w:t>Microbiological bases of infection therapy (viral, fungal, parasitic)</w:t>
            </w:r>
          </w:p>
        </w:tc>
        <w:tc>
          <w:tcPr>
            <w:tcW w:w="1995"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20AD8">
              <w:rPr>
                <w:szCs w:val="20"/>
              </w:rPr>
              <w:t>P</w:t>
            </w:r>
            <w:r>
              <w:rPr>
                <w:szCs w:val="20"/>
              </w:rPr>
              <w:t>PT</w:t>
            </w:r>
            <w:r w:rsidRPr="00220AD8">
              <w:rPr>
                <w:szCs w:val="20"/>
              </w:rPr>
              <w:t xml:space="preserve"> support</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8C0CCD" w:rsidTr="006953F9">
        <w:tc>
          <w:tcPr>
            <w:tcW w:w="451"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tcPr>
          <w:p w:rsidR="006953F9" w:rsidRDefault="006953F9" w:rsidP="001679E8">
            <w:pPr>
              <w:spacing w:line="240" w:lineRule="auto"/>
            </w:pPr>
            <w:r w:rsidRPr="00DD2996">
              <w:t>Antibiotherapy in bacterial infections and antibiotic resistance</w:t>
            </w:r>
          </w:p>
        </w:tc>
        <w:tc>
          <w:tcPr>
            <w:tcW w:w="1995"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20AD8">
              <w:rPr>
                <w:szCs w:val="20"/>
              </w:rPr>
              <w:t>P</w:t>
            </w:r>
            <w:r>
              <w:rPr>
                <w:szCs w:val="20"/>
              </w:rPr>
              <w:t>PT</w:t>
            </w:r>
            <w:r w:rsidRPr="00220AD8">
              <w:rPr>
                <w:szCs w:val="20"/>
              </w:rPr>
              <w:t xml:space="preserve"> support</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bl>
    <w:p w:rsidR="006953F9" w:rsidRDefault="006953F9"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6041"/>
        <w:gridCol w:w="2222"/>
        <w:gridCol w:w="1428"/>
      </w:tblGrid>
      <w:tr w:rsidR="006B7D20" w:rsidRPr="00730232" w:rsidTr="006953F9">
        <w:tc>
          <w:tcPr>
            <w:tcW w:w="6487" w:type="dxa"/>
            <w:gridSpan w:val="2"/>
            <w:shd w:val="clear" w:color="auto" w:fill="F2F2F2" w:themeFill="background1" w:themeFillShade="F2"/>
            <w:vAlign w:val="center"/>
          </w:tcPr>
          <w:p w:rsidR="006B7D20" w:rsidRPr="00730232" w:rsidRDefault="006B7D20" w:rsidP="001679E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7E5285"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222" w:type="dxa"/>
            <w:shd w:val="clear" w:color="auto" w:fill="F2F2F2" w:themeFill="background1" w:themeFillShade="F2"/>
          </w:tcPr>
          <w:p w:rsidR="006B7D20" w:rsidRPr="008C0CCD" w:rsidRDefault="006B7D20" w:rsidP="001679E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1679E8">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6953F9" w:rsidRPr="00730232" w:rsidTr="006953F9">
        <w:tc>
          <w:tcPr>
            <w:tcW w:w="446"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41" w:type="dxa"/>
            <w:shd w:val="clear" w:color="auto" w:fill="auto"/>
          </w:tcPr>
          <w:p w:rsidR="006953F9" w:rsidRPr="00DB5D1E" w:rsidRDefault="006953F9" w:rsidP="001679E8">
            <w:pPr>
              <w:spacing w:line="240" w:lineRule="auto"/>
            </w:pPr>
            <w:r w:rsidRPr="00DB5D1E">
              <w:t>The microbiology laboratory – organization, functions. Presentation of equipment, devices, laboratory materials. Labor protection measures in the microbiology laboratory. Sterilization and disinfection methods. Sterilization control. Elementary work techniques in the microbiology laboratory.</w:t>
            </w:r>
          </w:p>
        </w:tc>
        <w:tc>
          <w:tcPr>
            <w:tcW w:w="2222" w:type="dxa"/>
            <w:shd w:val="clear" w:color="auto" w:fill="auto"/>
          </w:tcPr>
          <w:p w:rsidR="006953F9" w:rsidRDefault="006953F9" w:rsidP="001679E8">
            <w:pPr>
              <w:spacing w:line="240" w:lineRule="auto"/>
            </w:pPr>
            <w:r w:rsidRPr="006116A1">
              <w:t>Practical applications</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730232" w:rsidTr="006953F9">
        <w:tc>
          <w:tcPr>
            <w:tcW w:w="446"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041" w:type="dxa"/>
            <w:shd w:val="clear" w:color="auto" w:fill="auto"/>
          </w:tcPr>
          <w:p w:rsidR="006953F9" w:rsidRPr="00DB5D1E" w:rsidRDefault="006953F9" w:rsidP="001679E8">
            <w:pPr>
              <w:spacing w:line="240" w:lineRule="auto"/>
            </w:pPr>
            <w:r w:rsidRPr="00DB5D1E">
              <w:t>Demonstration of the ubiquity of microorganisms</w:t>
            </w:r>
          </w:p>
        </w:tc>
        <w:tc>
          <w:tcPr>
            <w:tcW w:w="2222" w:type="dxa"/>
            <w:shd w:val="clear" w:color="auto" w:fill="auto"/>
          </w:tcPr>
          <w:p w:rsidR="006953F9" w:rsidRDefault="006953F9" w:rsidP="001679E8">
            <w:pPr>
              <w:spacing w:line="240" w:lineRule="auto"/>
            </w:pPr>
            <w:r w:rsidRPr="006116A1">
              <w:t>Practical applications</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730232" w:rsidTr="006953F9">
        <w:tc>
          <w:tcPr>
            <w:tcW w:w="446"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041" w:type="dxa"/>
            <w:shd w:val="clear" w:color="auto" w:fill="auto"/>
          </w:tcPr>
          <w:p w:rsidR="006953F9" w:rsidRPr="00DB5D1E" w:rsidRDefault="006953F9" w:rsidP="001679E8">
            <w:pPr>
              <w:spacing w:line="240" w:lineRule="auto"/>
            </w:pPr>
            <w:r w:rsidRPr="00DB5D1E">
              <w:t>Microbial decontamination in the microbiology laboratory and medical practice</w:t>
            </w:r>
          </w:p>
        </w:tc>
        <w:tc>
          <w:tcPr>
            <w:tcW w:w="2222" w:type="dxa"/>
            <w:shd w:val="clear" w:color="auto" w:fill="auto"/>
          </w:tcPr>
          <w:p w:rsidR="006953F9" w:rsidRDefault="006953F9" w:rsidP="001679E8">
            <w:pPr>
              <w:spacing w:line="240" w:lineRule="auto"/>
            </w:pPr>
            <w:r w:rsidRPr="006116A1">
              <w:t>Practical applications</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730232" w:rsidTr="006953F9">
        <w:tc>
          <w:tcPr>
            <w:tcW w:w="446"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041" w:type="dxa"/>
            <w:shd w:val="clear" w:color="auto" w:fill="auto"/>
          </w:tcPr>
          <w:p w:rsidR="006953F9" w:rsidRPr="00DB5D1E" w:rsidRDefault="006953F9" w:rsidP="001679E8">
            <w:pPr>
              <w:spacing w:line="240" w:lineRule="auto"/>
            </w:pPr>
            <w:r w:rsidRPr="00DB5D1E">
              <w:t>Microscopic examination in bacteriological diagnosis. Stains used in bacteriology and parasitology (e.g. coproparasitological, anal print and recognition of parasites in blood)</w:t>
            </w:r>
          </w:p>
        </w:tc>
        <w:tc>
          <w:tcPr>
            <w:tcW w:w="2222" w:type="dxa"/>
            <w:shd w:val="clear" w:color="auto" w:fill="auto"/>
          </w:tcPr>
          <w:p w:rsidR="006953F9" w:rsidRDefault="006953F9" w:rsidP="001679E8">
            <w:pPr>
              <w:spacing w:line="240" w:lineRule="auto"/>
            </w:pPr>
            <w:r w:rsidRPr="006116A1">
              <w:t>Practical applications</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730232" w:rsidTr="006953F9">
        <w:tc>
          <w:tcPr>
            <w:tcW w:w="446"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041" w:type="dxa"/>
            <w:shd w:val="clear" w:color="auto" w:fill="auto"/>
          </w:tcPr>
          <w:p w:rsidR="006953F9" w:rsidRPr="00DB5D1E" w:rsidRDefault="006953F9" w:rsidP="001679E8">
            <w:pPr>
              <w:spacing w:line="240" w:lineRule="auto"/>
            </w:pPr>
            <w:r w:rsidRPr="00DB5D1E">
              <w:t>Cultivation of microorganisms (bacteria, viruses, fungi)</w:t>
            </w:r>
          </w:p>
        </w:tc>
        <w:tc>
          <w:tcPr>
            <w:tcW w:w="2222" w:type="dxa"/>
            <w:shd w:val="clear" w:color="auto" w:fill="auto"/>
          </w:tcPr>
          <w:p w:rsidR="006953F9" w:rsidRDefault="006953F9" w:rsidP="001679E8">
            <w:pPr>
              <w:spacing w:line="240" w:lineRule="auto"/>
            </w:pPr>
            <w:r w:rsidRPr="006116A1">
              <w:t>Practical applications</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730232" w:rsidTr="006953F9">
        <w:tc>
          <w:tcPr>
            <w:tcW w:w="446"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041" w:type="dxa"/>
            <w:shd w:val="clear" w:color="auto" w:fill="auto"/>
          </w:tcPr>
          <w:p w:rsidR="006953F9" w:rsidRPr="00DB5D1E" w:rsidRDefault="006953F9" w:rsidP="001679E8">
            <w:pPr>
              <w:spacing w:line="240" w:lineRule="auto"/>
            </w:pPr>
            <w:r w:rsidRPr="00DB5D1E">
              <w:t>Antigen-antibody reactions and molecular biology techniques in the microbiology laboratory.</w:t>
            </w:r>
          </w:p>
        </w:tc>
        <w:tc>
          <w:tcPr>
            <w:tcW w:w="2222" w:type="dxa"/>
            <w:shd w:val="clear" w:color="auto" w:fill="auto"/>
          </w:tcPr>
          <w:p w:rsidR="006953F9" w:rsidRDefault="006953F9" w:rsidP="001679E8">
            <w:pPr>
              <w:spacing w:line="240" w:lineRule="auto"/>
            </w:pPr>
            <w:r w:rsidRPr="006116A1">
              <w:t>Practical applications</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r w:rsidR="006953F9" w:rsidRPr="00730232" w:rsidTr="006953F9">
        <w:tc>
          <w:tcPr>
            <w:tcW w:w="446" w:type="dxa"/>
            <w:shd w:val="clear" w:color="auto" w:fill="auto"/>
            <w:vAlign w:val="center"/>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041" w:type="dxa"/>
            <w:shd w:val="clear" w:color="auto" w:fill="auto"/>
          </w:tcPr>
          <w:p w:rsidR="006953F9" w:rsidRDefault="006953F9" w:rsidP="001679E8">
            <w:pPr>
              <w:spacing w:line="240" w:lineRule="auto"/>
            </w:pPr>
            <w:r w:rsidRPr="00DB5D1E">
              <w:t>Laboratory diagnosis of infection</w:t>
            </w:r>
          </w:p>
        </w:tc>
        <w:tc>
          <w:tcPr>
            <w:tcW w:w="2222" w:type="dxa"/>
            <w:shd w:val="clear" w:color="auto" w:fill="auto"/>
          </w:tcPr>
          <w:p w:rsidR="006953F9" w:rsidRDefault="006953F9" w:rsidP="001679E8">
            <w:pPr>
              <w:spacing w:line="240" w:lineRule="auto"/>
            </w:pPr>
            <w:r w:rsidRPr="006116A1">
              <w:t>Practical applications</w:t>
            </w:r>
          </w:p>
        </w:tc>
        <w:tc>
          <w:tcPr>
            <w:tcW w:w="1428" w:type="dxa"/>
            <w:shd w:val="clear" w:color="auto" w:fill="auto"/>
          </w:tcPr>
          <w:p w:rsidR="006953F9" w:rsidRPr="00730232" w:rsidRDefault="006953F9" w:rsidP="001679E8">
            <w:pPr>
              <w:autoSpaceDE w:val="0"/>
              <w:autoSpaceDN w:val="0"/>
              <w:adjustRightInd w:val="0"/>
              <w:spacing w:line="240" w:lineRule="auto"/>
              <w:rPr>
                <w:rFonts w:asciiTheme="majorHAnsi" w:hAnsiTheme="majorHAnsi" w:cs="TimesNewRoman,Bold"/>
                <w:bCs/>
                <w:szCs w:val="20"/>
                <w:lang w:bidi="ne-NP"/>
              </w:rPr>
            </w:pPr>
            <w:r w:rsidRPr="002346B6">
              <w:rPr>
                <w:szCs w:val="20"/>
              </w:rPr>
              <w:t xml:space="preserve">2 </w:t>
            </w:r>
            <w:r>
              <w:rPr>
                <w:szCs w:val="20"/>
              </w:rPr>
              <w:t>h</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1019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94"/>
      </w:tblGrid>
      <w:tr w:rsidR="00830AAE" w:rsidTr="001679E8">
        <w:trPr>
          <w:trHeight w:val="194"/>
        </w:trPr>
        <w:tc>
          <w:tcPr>
            <w:tcW w:w="10194" w:type="dxa"/>
            <w:shd w:val="clear" w:color="auto" w:fill="F2F2F2" w:themeFill="background1" w:themeFillShade="F2"/>
          </w:tcPr>
          <w:p w:rsidR="00830AAE" w:rsidRDefault="000C7BDB" w:rsidP="006953F9">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1679E8">
        <w:trPr>
          <w:trHeight w:val="146"/>
        </w:trPr>
        <w:tc>
          <w:tcPr>
            <w:tcW w:w="10194" w:type="dxa"/>
          </w:tcPr>
          <w:p w:rsidR="00830AAE" w:rsidRDefault="006B7D20" w:rsidP="001679E8">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1679E8">
        <w:trPr>
          <w:trHeight w:val="1089"/>
        </w:trPr>
        <w:tc>
          <w:tcPr>
            <w:tcW w:w="10194" w:type="dxa"/>
          </w:tcPr>
          <w:p w:rsidR="003A5619" w:rsidRPr="001679E8" w:rsidRDefault="003A5619" w:rsidP="001679E8">
            <w:pPr>
              <w:pStyle w:val="ListParagraph"/>
              <w:numPr>
                <w:ilvl w:val="0"/>
                <w:numId w:val="6"/>
              </w:numPr>
              <w:spacing w:line="240" w:lineRule="auto"/>
              <w:rPr>
                <w:rFonts w:asciiTheme="majorHAnsi" w:hAnsiTheme="majorHAnsi" w:cs="TimesNewRoman,Bold"/>
                <w:bCs/>
                <w:i/>
                <w:szCs w:val="20"/>
                <w:lang w:bidi="ne-NP"/>
              </w:rPr>
            </w:pPr>
            <w:r w:rsidRPr="001679E8">
              <w:rPr>
                <w:rFonts w:asciiTheme="majorHAnsi" w:hAnsiTheme="majorHAnsi" w:cs="TimesNewRoman,Bold"/>
                <w:bCs/>
                <w:szCs w:val="20"/>
                <w:lang w:bidi="ne-NP"/>
              </w:rPr>
              <w:t>Course notes, e-Learning platform</w:t>
            </w:r>
          </w:p>
          <w:p w:rsidR="003A5619" w:rsidRPr="001679E8" w:rsidRDefault="003A5619" w:rsidP="001679E8">
            <w:pPr>
              <w:pStyle w:val="ListParagraph"/>
              <w:numPr>
                <w:ilvl w:val="0"/>
                <w:numId w:val="6"/>
              </w:numPr>
              <w:spacing w:line="240" w:lineRule="auto"/>
              <w:rPr>
                <w:rFonts w:asciiTheme="majorHAnsi" w:hAnsiTheme="majorHAnsi" w:cs="TimesNewRoman,Bold"/>
                <w:bCs/>
                <w:i/>
                <w:szCs w:val="20"/>
                <w:lang w:bidi="ne-NP"/>
              </w:rPr>
            </w:pPr>
            <w:r w:rsidRPr="001679E8">
              <w:rPr>
                <w:rFonts w:asciiTheme="majorHAnsi" w:eastAsia="Times New Roman" w:hAnsiTheme="majorHAnsi"/>
              </w:rPr>
              <w:t xml:space="preserve">Sub redactia: Liminița Smaranda Iancu , Introduction to Study Medical Microbiology for Second Year Students of Medicine and Dentistry Faculties Vol. I, </w:t>
            </w:r>
            <w:r w:rsidRPr="001679E8">
              <w:rPr>
                <w:rFonts w:asciiTheme="majorHAnsi" w:hAnsiTheme="majorHAnsi"/>
                <w:bCs/>
                <w:lang w:val="it-IT" w:bidi="ne-NP"/>
              </w:rPr>
              <w:t xml:space="preserve">Editura "Gr. T. Popa" UMF Iaşi, </w:t>
            </w:r>
            <w:r w:rsidRPr="001679E8">
              <w:rPr>
                <w:rFonts w:asciiTheme="majorHAnsi" w:hAnsiTheme="majorHAnsi"/>
                <w:bCs/>
              </w:rPr>
              <w:t>2019</w:t>
            </w:r>
          </w:p>
          <w:p w:rsidR="003A5619" w:rsidRPr="001679E8" w:rsidRDefault="003A5619" w:rsidP="001679E8">
            <w:pPr>
              <w:pStyle w:val="ListParagraph"/>
              <w:numPr>
                <w:ilvl w:val="0"/>
                <w:numId w:val="6"/>
              </w:numPr>
              <w:spacing w:line="240" w:lineRule="auto"/>
              <w:rPr>
                <w:rFonts w:asciiTheme="majorHAnsi" w:hAnsiTheme="majorHAnsi" w:cs="TimesNewRoman,Bold"/>
                <w:bCs/>
                <w:i/>
                <w:szCs w:val="20"/>
                <w:lang w:bidi="ne-NP"/>
              </w:rPr>
            </w:pPr>
            <w:r w:rsidRPr="001679E8">
              <w:rPr>
                <w:rFonts w:asciiTheme="majorHAnsi" w:hAnsiTheme="majorHAnsi"/>
                <w:bCs/>
              </w:rPr>
              <w:t xml:space="preserve"> Gabriele Halwachs-Baumann, Congenital Cytomegalovirus Infection, Springer, 2011</w:t>
            </w:r>
          </w:p>
          <w:p w:rsidR="003A5619" w:rsidRPr="001679E8" w:rsidRDefault="003A5619" w:rsidP="001679E8">
            <w:pPr>
              <w:pStyle w:val="ListParagraph"/>
              <w:numPr>
                <w:ilvl w:val="0"/>
                <w:numId w:val="6"/>
              </w:numPr>
              <w:spacing w:line="240" w:lineRule="auto"/>
              <w:rPr>
                <w:rFonts w:asciiTheme="majorHAnsi" w:hAnsiTheme="majorHAnsi" w:cs="TimesNewRoman,Bold"/>
                <w:bCs/>
                <w:i/>
                <w:szCs w:val="20"/>
                <w:lang w:bidi="ne-NP"/>
              </w:rPr>
            </w:pPr>
            <w:r w:rsidRPr="001679E8">
              <w:rPr>
                <w:rFonts w:asciiTheme="majorHAnsi" w:hAnsiTheme="majorHAnsi"/>
              </w:rPr>
              <w:t xml:space="preserve">Mitchell L. Shiffman, </w:t>
            </w:r>
            <w:r w:rsidRPr="001679E8">
              <w:rPr>
                <w:rFonts w:asciiTheme="majorHAnsi" w:hAnsiTheme="majorHAnsi"/>
                <w:bCs/>
              </w:rPr>
              <w:t>Chronic Hepatitis C Virus, Springer, 2012</w:t>
            </w:r>
          </w:p>
          <w:p w:rsidR="003A5619" w:rsidRPr="001679E8" w:rsidRDefault="003A5619" w:rsidP="001679E8">
            <w:pPr>
              <w:pStyle w:val="ListParagraph"/>
              <w:numPr>
                <w:ilvl w:val="0"/>
                <w:numId w:val="6"/>
              </w:numPr>
              <w:spacing w:line="240" w:lineRule="auto"/>
              <w:rPr>
                <w:rFonts w:asciiTheme="majorHAnsi" w:hAnsiTheme="majorHAnsi" w:cs="TimesNewRoman,Bold"/>
                <w:bCs/>
                <w:i/>
                <w:szCs w:val="20"/>
                <w:lang w:bidi="ne-NP"/>
              </w:rPr>
            </w:pPr>
            <w:r w:rsidRPr="001679E8">
              <w:rPr>
                <w:rFonts w:asciiTheme="majorHAnsi" w:hAnsiTheme="majorHAnsi"/>
                <w:bCs/>
              </w:rPr>
              <w:t>Germain Velasquez, Vaccines, Medicines and COVID-19, , Springer, 2022</w:t>
            </w:r>
          </w:p>
          <w:p w:rsidR="00830AAE" w:rsidRPr="001679E8" w:rsidRDefault="00830AAE" w:rsidP="001679E8">
            <w:pPr>
              <w:tabs>
                <w:tab w:val="left" w:pos="337"/>
              </w:tabs>
              <w:autoSpaceDE w:val="0"/>
              <w:autoSpaceDN w:val="0"/>
              <w:adjustRightInd w:val="0"/>
              <w:spacing w:line="240" w:lineRule="auto"/>
              <w:rPr>
                <w:rFonts w:asciiTheme="majorHAnsi" w:hAnsiTheme="majorHAnsi" w:cs="TimesNewRoman,Bold"/>
                <w:b/>
                <w:bCs/>
                <w:i/>
                <w:szCs w:val="20"/>
                <w:lang w:bidi="ne-NP"/>
              </w:rPr>
            </w:pPr>
          </w:p>
        </w:tc>
      </w:tr>
      <w:tr w:rsidR="000C7BDB" w:rsidTr="001679E8">
        <w:trPr>
          <w:trHeight w:val="146"/>
        </w:trPr>
        <w:tc>
          <w:tcPr>
            <w:tcW w:w="10194" w:type="dxa"/>
          </w:tcPr>
          <w:p w:rsidR="000C7BDB" w:rsidRPr="001679E8" w:rsidRDefault="000C7BDB" w:rsidP="001679E8">
            <w:pPr>
              <w:autoSpaceDE w:val="0"/>
              <w:autoSpaceDN w:val="0"/>
              <w:adjustRightInd w:val="0"/>
              <w:spacing w:line="240" w:lineRule="auto"/>
              <w:rPr>
                <w:rFonts w:asciiTheme="majorHAnsi" w:hAnsiTheme="majorHAnsi" w:cs="TimesNewRoman,Bold"/>
                <w:b/>
                <w:bCs/>
                <w:i/>
                <w:szCs w:val="20"/>
                <w:lang w:bidi="ne-NP"/>
              </w:rPr>
            </w:pPr>
          </w:p>
        </w:tc>
      </w:tr>
      <w:tr w:rsidR="00830AAE" w:rsidTr="001679E8">
        <w:trPr>
          <w:trHeight w:val="155"/>
        </w:trPr>
        <w:tc>
          <w:tcPr>
            <w:tcW w:w="10194" w:type="dxa"/>
          </w:tcPr>
          <w:p w:rsidR="00830AAE" w:rsidRDefault="006B7D20" w:rsidP="001679E8">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1679E8">
        <w:trPr>
          <w:trHeight w:val="600"/>
        </w:trPr>
        <w:tc>
          <w:tcPr>
            <w:tcW w:w="10194" w:type="dxa"/>
          </w:tcPr>
          <w:p w:rsidR="006953F9" w:rsidRPr="003A5619" w:rsidRDefault="006953F9" w:rsidP="001679E8">
            <w:pPr>
              <w:pStyle w:val="ListParagraph"/>
              <w:numPr>
                <w:ilvl w:val="0"/>
                <w:numId w:val="7"/>
              </w:numPr>
              <w:tabs>
                <w:tab w:val="left" w:pos="262"/>
              </w:tabs>
              <w:spacing w:line="240" w:lineRule="auto"/>
              <w:jc w:val="both"/>
              <w:rPr>
                <w:rFonts w:asciiTheme="majorHAnsi" w:hAnsiTheme="majorHAnsi"/>
                <w:bCs/>
                <w:szCs w:val="20"/>
                <w:lang w:val="it-IT"/>
              </w:rPr>
            </w:pPr>
            <w:r w:rsidRPr="003A5619">
              <w:rPr>
                <w:rFonts w:asciiTheme="majorHAnsi" w:hAnsiTheme="majorHAnsi"/>
                <w:bCs/>
                <w:szCs w:val="20"/>
                <w:lang w:val="it-IT"/>
              </w:rPr>
              <w:t>CHIFIRIUC, MARIANA CARMEN, MIHAESCU, G., LAZAR, VERONICA, 2011, Microbiologie</w:t>
            </w:r>
          </w:p>
          <w:p w:rsidR="003A5619" w:rsidRDefault="006953F9" w:rsidP="001679E8">
            <w:pPr>
              <w:tabs>
                <w:tab w:val="left" w:pos="262"/>
              </w:tabs>
              <w:spacing w:line="240" w:lineRule="auto"/>
              <w:jc w:val="both"/>
              <w:rPr>
                <w:rFonts w:asciiTheme="majorHAnsi" w:hAnsiTheme="majorHAnsi"/>
                <w:bCs/>
                <w:szCs w:val="20"/>
                <w:lang w:val="it-IT"/>
              </w:rPr>
            </w:pPr>
            <w:r w:rsidRPr="009424D1">
              <w:rPr>
                <w:rFonts w:asciiTheme="majorHAnsi" w:hAnsiTheme="majorHAnsi"/>
                <w:bCs/>
                <w:szCs w:val="20"/>
                <w:lang w:val="it-IT"/>
              </w:rPr>
              <w:t>si Virologie Medicala, Ed. Univ. Bucureşti.</w:t>
            </w:r>
          </w:p>
          <w:p w:rsidR="006953F9" w:rsidRPr="003A5619" w:rsidRDefault="006953F9" w:rsidP="001679E8">
            <w:pPr>
              <w:pStyle w:val="ListParagraph"/>
              <w:numPr>
                <w:ilvl w:val="0"/>
                <w:numId w:val="7"/>
              </w:numPr>
              <w:tabs>
                <w:tab w:val="left" w:pos="262"/>
              </w:tabs>
              <w:spacing w:line="240" w:lineRule="auto"/>
              <w:jc w:val="both"/>
              <w:rPr>
                <w:rFonts w:asciiTheme="majorHAnsi" w:hAnsiTheme="majorHAnsi"/>
                <w:bCs/>
                <w:szCs w:val="20"/>
                <w:lang w:val="it-IT"/>
              </w:rPr>
            </w:pPr>
            <w:r w:rsidRPr="003A5619">
              <w:rPr>
                <w:rFonts w:asciiTheme="majorHAnsi" w:hAnsiTheme="majorHAnsi"/>
                <w:bCs/>
                <w:szCs w:val="20"/>
                <w:lang w:val="it-IT"/>
              </w:rPr>
              <w:t>ARDELEAN I.I. , 2013 . Microbiologie generală volumul 1, Editurea Ars Docendi.</w:t>
            </w:r>
          </w:p>
          <w:p w:rsidR="00830AAE" w:rsidRDefault="00830AAE" w:rsidP="001679E8">
            <w:pPr>
              <w:tabs>
                <w:tab w:val="left" w:pos="262"/>
              </w:tabs>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3F9" w:rsidRDefault="006953F9"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1679E8">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1679E8">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1679E8">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1679E8">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1679E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1679E8">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1679E8">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1679E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1679E8">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1679E8">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1679E8">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1679E8">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EA50A4" w:rsidRDefault="00EA50A4" w:rsidP="001679E8">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EA50A4">
              <w:rPr>
                <w:rFonts w:asciiTheme="majorHAnsi" w:hAnsiTheme="majorHAnsi"/>
                <w:szCs w:val="20"/>
              </w:rPr>
              <w:t>knowledge</w:t>
            </w:r>
            <w:r w:rsidRPr="006953F9">
              <w:rPr>
                <w:rFonts w:asciiTheme="majorHAnsi" w:hAnsiTheme="majorHAnsi"/>
                <w:szCs w:val="20"/>
              </w:rPr>
              <w:t xml:space="preserve"> general principles of microbiology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9424D1">
        <w:trPr>
          <w:trHeight w:val="202"/>
        </w:trPr>
        <w:tc>
          <w:tcPr>
            <w:tcW w:w="1998" w:type="dxa"/>
            <w:shd w:val="clear" w:color="auto" w:fill="F2F2F2" w:themeFill="background1" w:themeFillShade="F2"/>
          </w:tcPr>
          <w:p w:rsidR="000C7BDB" w:rsidRPr="000C7BDB" w:rsidRDefault="00CF6B2D" w:rsidP="00EF00DF">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r w:rsidR="001C6702"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9424D1">
        <w:trPr>
          <w:trHeight w:val="445"/>
        </w:trPr>
        <w:tc>
          <w:tcPr>
            <w:tcW w:w="1998" w:type="dxa"/>
          </w:tcPr>
          <w:p w:rsidR="001C6702" w:rsidRPr="000C7BDB" w:rsidRDefault="00EA18B0"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w:t>
            </w:r>
            <w:r w:rsidR="00F5150D">
              <w:rPr>
                <w:rFonts w:asciiTheme="majorHAnsi" w:hAnsiTheme="majorHAnsi" w:cs="TimesNewRoman"/>
                <w:szCs w:val="20"/>
                <w:lang w:bidi="ne-NP"/>
              </w:rPr>
              <w:t>.2024</w:t>
            </w:r>
          </w:p>
        </w:tc>
        <w:tc>
          <w:tcPr>
            <w:tcW w:w="3870" w:type="dxa"/>
          </w:tcPr>
          <w:p w:rsidR="001C6702" w:rsidRPr="009424D1" w:rsidRDefault="009424D1" w:rsidP="009424D1">
            <w:pPr>
              <w:autoSpaceDE w:val="0"/>
              <w:autoSpaceDN w:val="0"/>
              <w:adjustRightInd w:val="0"/>
              <w:jc w:val="center"/>
              <w:rPr>
                <w:rFonts w:asciiTheme="majorHAnsi" w:hAnsiTheme="majorHAnsi" w:cs="TimesNewRoman"/>
                <w:szCs w:val="20"/>
                <w:lang w:bidi="ne-NP"/>
              </w:rPr>
            </w:pPr>
            <w:r w:rsidRPr="009424D1">
              <w:rPr>
                <w:rFonts w:asciiTheme="majorHAnsi" w:hAnsiTheme="majorHAnsi"/>
              </w:rPr>
              <w:fldChar w:fldCharType="begin"/>
            </w:r>
            <w:r w:rsidRPr="009424D1">
              <w:rPr>
                <w:rFonts w:asciiTheme="majorHAnsi" w:hAnsiTheme="majorHAnsi"/>
              </w:rPr>
              <w:instrText xml:space="preserve"> MERGEFIELD "Titular_curs" </w:instrText>
            </w:r>
            <w:r w:rsidRPr="009424D1">
              <w:rPr>
                <w:rFonts w:asciiTheme="majorHAnsi" w:hAnsiTheme="majorHAnsi"/>
              </w:rPr>
              <w:fldChar w:fldCharType="separate"/>
            </w:r>
            <w:r w:rsidRPr="009424D1">
              <w:rPr>
                <w:rFonts w:asciiTheme="majorHAnsi" w:hAnsiTheme="majorHAnsi"/>
                <w:noProof/>
              </w:rPr>
              <w:t>Associate Professor Constantin Munteanu</w:t>
            </w:r>
            <w:r w:rsidRPr="009424D1">
              <w:rPr>
                <w:rFonts w:asciiTheme="majorHAnsi" w:hAnsiTheme="majorHAnsi"/>
              </w:rPr>
              <w:fldChar w:fldCharType="end"/>
            </w:r>
            <w:r w:rsidR="00EA50A4">
              <w:rPr>
                <w:rFonts w:asciiTheme="majorHAnsi" w:hAnsiTheme="majorHAnsi"/>
              </w:rPr>
              <w:t>, P</w:t>
            </w:r>
            <w:r w:rsidRPr="009424D1">
              <w:rPr>
                <w:rFonts w:asciiTheme="majorHAnsi" w:hAnsiTheme="majorHAnsi"/>
              </w:rPr>
              <w:t>hD</w:t>
            </w:r>
          </w:p>
        </w:tc>
        <w:tc>
          <w:tcPr>
            <w:tcW w:w="4176" w:type="dxa"/>
          </w:tcPr>
          <w:p w:rsidR="001C6702" w:rsidRPr="009424D1" w:rsidRDefault="009424D1" w:rsidP="009424D1">
            <w:pPr>
              <w:autoSpaceDE w:val="0"/>
              <w:autoSpaceDN w:val="0"/>
              <w:adjustRightInd w:val="0"/>
              <w:jc w:val="center"/>
              <w:rPr>
                <w:rFonts w:asciiTheme="majorHAnsi" w:hAnsiTheme="majorHAnsi" w:cs="TimesNewRoman"/>
                <w:szCs w:val="20"/>
                <w:lang w:bidi="ne-NP"/>
              </w:rPr>
            </w:pPr>
            <w:r w:rsidRPr="009424D1">
              <w:rPr>
                <w:rFonts w:asciiTheme="majorHAnsi" w:hAnsiTheme="majorHAnsi"/>
              </w:rPr>
              <w:fldChar w:fldCharType="begin"/>
            </w:r>
            <w:r w:rsidRPr="009424D1">
              <w:rPr>
                <w:rFonts w:asciiTheme="majorHAnsi" w:hAnsiTheme="majorHAnsi"/>
              </w:rPr>
              <w:instrText xml:space="preserve"> MERGEFIELD "Titular_curs" </w:instrText>
            </w:r>
            <w:r w:rsidRPr="009424D1">
              <w:rPr>
                <w:rFonts w:asciiTheme="majorHAnsi" w:hAnsiTheme="majorHAnsi"/>
              </w:rPr>
              <w:fldChar w:fldCharType="separate"/>
            </w:r>
            <w:r w:rsidRPr="009424D1">
              <w:rPr>
                <w:rFonts w:asciiTheme="majorHAnsi" w:hAnsiTheme="majorHAnsi"/>
                <w:noProof/>
              </w:rPr>
              <w:t>Associate Professor Constantin Munteanu</w:t>
            </w:r>
            <w:r w:rsidRPr="009424D1">
              <w:rPr>
                <w:rFonts w:asciiTheme="majorHAnsi" w:hAnsiTheme="majorHAnsi"/>
              </w:rPr>
              <w:fldChar w:fldCharType="end"/>
            </w:r>
            <w:r w:rsidRPr="009424D1">
              <w:rPr>
                <w:rFonts w:asciiTheme="majorHAnsi" w:hAnsiTheme="majorHAnsi"/>
              </w:rPr>
              <w:t>, PhD</w:t>
            </w:r>
          </w:p>
        </w:tc>
      </w:tr>
    </w:tbl>
    <w:p w:rsidR="001679E8" w:rsidRDefault="001679E8" w:rsidP="00CF6B2D">
      <w:pPr>
        <w:autoSpaceDE w:val="0"/>
        <w:autoSpaceDN w:val="0"/>
        <w:adjustRightInd w:val="0"/>
        <w:rPr>
          <w:rFonts w:asciiTheme="majorHAnsi" w:hAnsiTheme="majorHAnsi" w:cs="TimesNewRoman"/>
          <w:szCs w:val="20"/>
          <w:lang w:bidi="ne-NP"/>
        </w:rPr>
      </w:pPr>
    </w:p>
    <w:p w:rsidR="001679E8" w:rsidRDefault="001679E8" w:rsidP="00CF6B2D">
      <w:pPr>
        <w:autoSpaceDE w:val="0"/>
        <w:autoSpaceDN w:val="0"/>
        <w:adjustRightInd w:val="0"/>
        <w:rPr>
          <w:rFonts w:asciiTheme="majorHAnsi" w:hAnsiTheme="majorHAnsi" w:cs="TimesNewRoman"/>
          <w:szCs w:val="20"/>
          <w:lang w:bidi="ne-NP"/>
        </w:rPr>
      </w:pPr>
    </w:p>
    <w:p w:rsidR="00EA50A4" w:rsidRDefault="00EA50A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F5150D"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EA18B0">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9424D1" w:rsidRDefault="009424D1" w:rsidP="009424D1">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70" w:rsidRDefault="00650070" w:rsidP="003620AC">
      <w:pPr>
        <w:spacing w:line="240" w:lineRule="auto"/>
      </w:pPr>
      <w:r>
        <w:separator/>
      </w:r>
    </w:p>
  </w:endnote>
  <w:endnote w:type="continuationSeparator" w:id="0">
    <w:p w:rsidR="00650070" w:rsidRDefault="0065007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7270D">
                            <w:rPr>
                              <w:noProof/>
                              <w:color w:val="7F7F7F" w:themeColor="text1" w:themeTint="80"/>
                            </w:rPr>
                            <w:t>3</w:t>
                          </w:r>
                          <w:r w:rsidRPr="00A314B1">
                            <w:rPr>
                              <w:color w:val="7F7F7F" w:themeColor="text1" w:themeTint="80"/>
                            </w:rPr>
                            <w:fldChar w:fldCharType="end"/>
                          </w:r>
                          <w:r>
                            <w:t xml:space="preserve"> din </w:t>
                          </w:r>
                          <w:fldSimple w:instr=" NUMPAGES   \* MERGEFORMAT ">
                            <w:r w:rsidR="0047270D">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7270D">
                      <w:rPr>
                        <w:noProof/>
                        <w:color w:val="7F7F7F" w:themeColor="text1" w:themeTint="80"/>
                      </w:rPr>
                      <w:t>3</w:t>
                    </w:r>
                    <w:r w:rsidRPr="00A314B1">
                      <w:rPr>
                        <w:color w:val="7F7F7F" w:themeColor="text1" w:themeTint="80"/>
                      </w:rPr>
                      <w:fldChar w:fldCharType="end"/>
                    </w:r>
                    <w:r>
                      <w:t xml:space="preserve"> din </w:t>
                    </w:r>
                    <w:fldSimple w:instr=" NUMPAGES   \* MERGEFORMAT ">
                      <w:r w:rsidR="0047270D">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0A64E3"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635AC">
                            <w:rPr>
                              <w:noProof/>
                              <w:color w:val="7F7F7F" w:themeColor="text1" w:themeTint="80"/>
                            </w:rPr>
                            <w:t>1</w:t>
                          </w:r>
                          <w:r w:rsidRPr="00A314B1">
                            <w:rPr>
                              <w:color w:val="7F7F7F" w:themeColor="text1" w:themeTint="80"/>
                            </w:rPr>
                            <w:fldChar w:fldCharType="end"/>
                          </w:r>
                          <w:r>
                            <w:t xml:space="preserve"> din </w:t>
                          </w:r>
                          <w:fldSimple w:instr=" NUMPAGES   \* MERGEFORMAT ">
                            <w:r w:rsidR="003635AC">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3635AC">
                      <w:rPr>
                        <w:noProof/>
                        <w:color w:val="7F7F7F" w:themeColor="text1" w:themeTint="80"/>
                      </w:rPr>
                      <w:t>1</w:t>
                    </w:r>
                    <w:r w:rsidRPr="00A314B1">
                      <w:rPr>
                        <w:color w:val="7F7F7F" w:themeColor="text1" w:themeTint="80"/>
                      </w:rPr>
                      <w:fldChar w:fldCharType="end"/>
                    </w:r>
                    <w:r>
                      <w:t xml:space="preserve"> din </w:t>
                    </w:r>
                    <w:fldSimple w:instr=" NUMPAGES   \* MERGEFORMAT ">
                      <w:r w:rsidR="003635AC">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70" w:rsidRDefault="00650070" w:rsidP="003620AC">
      <w:pPr>
        <w:spacing w:line="240" w:lineRule="auto"/>
      </w:pPr>
      <w:r>
        <w:separator/>
      </w:r>
    </w:p>
  </w:footnote>
  <w:footnote w:type="continuationSeparator" w:id="0">
    <w:p w:rsidR="00650070" w:rsidRDefault="0065007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D82B035"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F656A"/>
    <w:multiLevelType w:val="hybridMultilevel"/>
    <w:tmpl w:val="965C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851BF"/>
    <w:multiLevelType w:val="hybridMultilevel"/>
    <w:tmpl w:val="1DAC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66EC6"/>
    <w:rsid w:val="0008386E"/>
    <w:rsid w:val="00096232"/>
    <w:rsid w:val="000A20CC"/>
    <w:rsid w:val="000B4404"/>
    <w:rsid w:val="000C40FD"/>
    <w:rsid w:val="000C487C"/>
    <w:rsid w:val="000C69A9"/>
    <w:rsid w:val="000C7BDB"/>
    <w:rsid w:val="000F6B2B"/>
    <w:rsid w:val="00113F10"/>
    <w:rsid w:val="00116327"/>
    <w:rsid w:val="00117E90"/>
    <w:rsid w:val="00123697"/>
    <w:rsid w:val="00130E44"/>
    <w:rsid w:val="001336B1"/>
    <w:rsid w:val="001564D8"/>
    <w:rsid w:val="001679E8"/>
    <w:rsid w:val="00171AC8"/>
    <w:rsid w:val="00183CB1"/>
    <w:rsid w:val="00187798"/>
    <w:rsid w:val="00187B55"/>
    <w:rsid w:val="00193DF5"/>
    <w:rsid w:val="00197314"/>
    <w:rsid w:val="001A2BE9"/>
    <w:rsid w:val="001A52B1"/>
    <w:rsid w:val="001B3E43"/>
    <w:rsid w:val="001C227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7D1A"/>
    <w:rsid w:val="002A1D57"/>
    <w:rsid w:val="002C158D"/>
    <w:rsid w:val="002E40E0"/>
    <w:rsid w:val="00303D07"/>
    <w:rsid w:val="003102DE"/>
    <w:rsid w:val="00314DEB"/>
    <w:rsid w:val="00316E70"/>
    <w:rsid w:val="00320C4F"/>
    <w:rsid w:val="00323938"/>
    <w:rsid w:val="00331357"/>
    <w:rsid w:val="003369C0"/>
    <w:rsid w:val="00337B9F"/>
    <w:rsid w:val="00343127"/>
    <w:rsid w:val="0034673D"/>
    <w:rsid w:val="003562C9"/>
    <w:rsid w:val="003578FB"/>
    <w:rsid w:val="00360DC5"/>
    <w:rsid w:val="003620AC"/>
    <w:rsid w:val="003635AC"/>
    <w:rsid w:val="00371F72"/>
    <w:rsid w:val="0038014E"/>
    <w:rsid w:val="003801A4"/>
    <w:rsid w:val="00384A9B"/>
    <w:rsid w:val="00386A2F"/>
    <w:rsid w:val="00391CF2"/>
    <w:rsid w:val="003A5619"/>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7270D"/>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7602"/>
    <w:rsid w:val="00567187"/>
    <w:rsid w:val="00576CEC"/>
    <w:rsid w:val="00582BB1"/>
    <w:rsid w:val="005839DD"/>
    <w:rsid w:val="0058790F"/>
    <w:rsid w:val="00587BA6"/>
    <w:rsid w:val="00596F5D"/>
    <w:rsid w:val="0059747C"/>
    <w:rsid w:val="005979F3"/>
    <w:rsid w:val="005C75E1"/>
    <w:rsid w:val="005E1275"/>
    <w:rsid w:val="005F62D7"/>
    <w:rsid w:val="005F7C27"/>
    <w:rsid w:val="0061072E"/>
    <w:rsid w:val="006207C8"/>
    <w:rsid w:val="00621AF2"/>
    <w:rsid w:val="00622996"/>
    <w:rsid w:val="0062496B"/>
    <w:rsid w:val="00624DE6"/>
    <w:rsid w:val="00627328"/>
    <w:rsid w:val="00635A34"/>
    <w:rsid w:val="00650070"/>
    <w:rsid w:val="00651621"/>
    <w:rsid w:val="0067305E"/>
    <w:rsid w:val="00675F59"/>
    <w:rsid w:val="00687B2B"/>
    <w:rsid w:val="006953F9"/>
    <w:rsid w:val="0069581B"/>
    <w:rsid w:val="006A4D55"/>
    <w:rsid w:val="006B02D7"/>
    <w:rsid w:val="006B7D20"/>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7E5285"/>
    <w:rsid w:val="00800B18"/>
    <w:rsid w:val="00802A0A"/>
    <w:rsid w:val="00804842"/>
    <w:rsid w:val="008131FF"/>
    <w:rsid w:val="008174A3"/>
    <w:rsid w:val="0082050C"/>
    <w:rsid w:val="00822E8B"/>
    <w:rsid w:val="00826C19"/>
    <w:rsid w:val="00830AAE"/>
    <w:rsid w:val="00857DB3"/>
    <w:rsid w:val="008607C1"/>
    <w:rsid w:val="008630B9"/>
    <w:rsid w:val="00863C4D"/>
    <w:rsid w:val="00867118"/>
    <w:rsid w:val="008A4B48"/>
    <w:rsid w:val="008C0CCD"/>
    <w:rsid w:val="008C5964"/>
    <w:rsid w:val="008D406E"/>
    <w:rsid w:val="008E0432"/>
    <w:rsid w:val="008E18B5"/>
    <w:rsid w:val="00907FD4"/>
    <w:rsid w:val="00910019"/>
    <w:rsid w:val="009218A7"/>
    <w:rsid w:val="00922A00"/>
    <w:rsid w:val="00926650"/>
    <w:rsid w:val="009424D1"/>
    <w:rsid w:val="009575A9"/>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314B1"/>
    <w:rsid w:val="00A45120"/>
    <w:rsid w:val="00A52389"/>
    <w:rsid w:val="00A808E1"/>
    <w:rsid w:val="00A85CED"/>
    <w:rsid w:val="00AA110C"/>
    <w:rsid w:val="00AA485A"/>
    <w:rsid w:val="00AB2E3B"/>
    <w:rsid w:val="00AB3C3F"/>
    <w:rsid w:val="00AB52C0"/>
    <w:rsid w:val="00AB6940"/>
    <w:rsid w:val="00AD3B62"/>
    <w:rsid w:val="00AD79E0"/>
    <w:rsid w:val="00AF084E"/>
    <w:rsid w:val="00B04CE9"/>
    <w:rsid w:val="00B05A0A"/>
    <w:rsid w:val="00B06C26"/>
    <w:rsid w:val="00B21FD5"/>
    <w:rsid w:val="00B31065"/>
    <w:rsid w:val="00B3395E"/>
    <w:rsid w:val="00B55609"/>
    <w:rsid w:val="00B70B7A"/>
    <w:rsid w:val="00B71C33"/>
    <w:rsid w:val="00B80776"/>
    <w:rsid w:val="00B85535"/>
    <w:rsid w:val="00BB2FCD"/>
    <w:rsid w:val="00BC159B"/>
    <w:rsid w:val="00BC23D8"/>
    <w:rsid w:val="00BD0368"/>
    <w:rsid w:val="00BD56FA"/>
    <w:rsid w:val="00BD5887"/>
    <w:rsid w:val="00BE78D8"/>
    <w:rsid w:val="00BF064D"/>
    <w:rsid w:val="00BF29CA"/>
    <w:rsid w:val="00C01D5F"/>
    <w:rsid w:val="00C02D15"/>
    <w:rsid w:val="00C05426"/>
    <w:rsid w:val="00C10F40"/>
    <w:rsid w:val="00C25F8E"/>
    <w:rsid w:val="00C33F03"/>
    <w:rsid w:val="00C37DCE"/>
    <w:rsid w:val="00C50FAB"/>
    <w:rsid w:val="00C52104"/>
    <w:rsid w:val="00C53F1A"/>
    <w:rsid w:val="00C71699"/>
    <w:rsid w:val="00C77658"/>
    <w:rsid w:val="00C77790"/>
    <w:rsid w:val="00C778ED"/>
    <w:rsid w:val="00C828BC"/>
    <w:rsid w:val="00C85D28"/>
    <w:rsid w:val="00C90195"/>
    <w:rsid w:val="00CA1E14"/>
    <w:rsid w:val="00CA6A95"/>
    <w:rsid w:val="00CA79C9"/>
    <w:rsid w:val="00CC50A6"/>
    <w:rsid w:val="00CD7ED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F1156"/>
    <w:rsid w:val="00DF5818"/>
    <w:rsid w:val="00E07EE1"/>
    <w:rsid w:val="00E155DA"/>
    <w:rsid w:val="00E27A4D"/>
    <w:rsid w:val="00E3025A"/>
    <w:rsid w:val="00E30BAE"/>
    <w:rsid w:val="00E3127B"/>
    <w:rsid w:val="00E340E7"/>
    <w:rsid w:val="00E61028"/>
    <w:rsid w:val="00E632FA"/>
    <w:rsid w:val="00E65D16"/>
    <w:rsid w:val="00E856EE"/>
    <w:rsid w:val="00E93C96"/>
    <w:rsid w:val="00E94BDD"/>
    <w:rsid w:val="00E97541"/>
    <w:rsid w:val="00EA18B0"/>
    <w:rsid w:val="00EA50A4"/>
    <w:rsid w:val="00EB5249"/>
    <w:rsid w:val="00EB5461"/>
    <w:rsid w:val="00EC0CBA"/>
    <w:rsid w:val="00EC5FC3"/>
    <w:rsid w:val="00EF00DF"/>
    <w:rsid w:val="00F10704"/>
    <w:rsid w:val="00F207A3"/>
    <w:rsid w:val="00F25D0D"/>
    <w:rsid w:val="00F5150D"/>
    <w:rsid w:val="00F722E0"/>
    <w:rsid w:val="00F81A4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6134">
      <w:bodyDiv w:val="1"/>
      <w:marLeft w:val="0"/>
      <w:marRight w:val="0"/>
      <w:marTop w:val="0"/>
      <w:marBottom w:val="0"/>
      <w:divBdr>
        <w:top w:val="none" w:sz="0" w:space="0" w:color="auto"/>
        <w:left w:val="none" w:sz="0" w:space="0" w:color="auto"/>
        <w:bottom w:val="none" w:sz="0" w:space="0" w:color="auto"/>
        <w:right w:val="none" w:sz="0" w:space="0" w:color="auto"/>
      </w:divBdr>
    </w:div>
    <w:div w:id="20688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15C27"/>
    <w:rsid w:val="00027A30"/>
    <w:rsid w:val="00054906"/>
    <w:rsid w:val="000E142E"/>
    <w:rsid w:val="00404E09"/>
    <w:rsid w:val="00431305"/>
    <w:rsid w:val="0045699D"/>
    <w:rsid w:val="005323FE"/>
    <w:rsid w:val="005C0F5E"/>
    <w:rsid w:val="0061319E"/>
    <w:rsid w:val="007503BC"/>
    <w:rsid w:val="007C4169"/>
    <w:rsid w:val="007D5A13"/>
    <w:rsid w:val="008447CE"/>
    <w:rsid w:val="008C03F8"/>
    <w:rsid w:val="009515A7"/>
    <w:rsid w:val="00A97D36"/>
    <w:rsid w:val="00AE1BBD"/>
    <w:rsid w:val="00B1416B"/>
    <w:rsid w:val="00C76C48"/>
    <w:rsid w:val="00CD0396"/>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MACCJ7WAEWV6-565203097-841</_dlc_DocId>
    <_dlc_DocIdUrl xmlns="4c155583-69f9-458b-843e-56574a4bdc09">
      <Url>https://www.umfiasi.ro/ro/academic/facultati/bioinginerie-medicala/_layouts/15/DocIdRedir.aspx?ID=MACCJ7WAEWV6-565203097-841</Url>
      <Description>MACCJ7WAEWV6-565203097-841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7D669-1838-454F-8E1C-DA124FB16513}"/>
</file>

<file path=customXml/itemProps2.xml><?xml version="1.0" encoding="utf-8"?>
<ds:datastoreItem xmlns:ds="http://schemas.openxmlformats.org/officeDocument/2006/customXml" ds:itemID="{ECF566E1-840E-4B83-97C5-C54CF98C1ED6}"/>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1D3ECD0F-DDB9-4B86-9D45-8A8318D15BBB}"/>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1</TotalTime>
  <Pages>1</Pages>
  <Words>1340</Words>
  <Characters>7640</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2024-10-04T06:50:00Z</dcterms:created>
  <dcterms:modified xsi:type="dcterms:W3CDTF">2024-10-04T06:51:00Z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e8258fb8-eb07-47b3-9876-5e4fabfe6c06</vt:lpwstr>
  </property>
</Properties>
</file>