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92" w:rsidRDefault="00EE7692">
      <w:pPr>
        <w:pStyle w:val="Standard"/>
        <w:jc w:val="center"/>
        <w:rPr>
          <w:b/>
          <w:bCs/>
          <w:sz w:val="28"/>
          <w:szCs w:val="28"/>
          <w:lang w:val="en-US"/>
        </w:rPr>
      </w:pPr>
      <w:r>
        <w:rPr>
          <w:b/>
          <w:bCs/>
          <w:noProof/>
          <w:sz w:val="28"/>
          <w:szCs w:val="28"/>
          <w:lang w:val="en-US"/>
        </w:rPr>
        <w:drawing>
          <wp:anchor distT="0" distB="0" distL="114300" distR="114300" simplePos="0" relativeHeight="17" behindDoc="1" locked="0" layoutInCell="1" allowOverlap="1" wp14:anchorId="191FF2F7" wp14:editId="79B8A673">
            <wp:simplePos x="0" y="0"/>
            <wp:positionH relativeFrom="column">
              <wp:posOffset>-730250</wp:posOffset>
            </wp:positionH>
            <wp:positionV relativeFrom="paragraph">
              <wp:posOffset>-519430</wp:posOffset>
            </wp:positionV>
            <wp:extent cx="4231640" cy="584835"/>
            <wp:effectExtent l="0" t="0" r="0" b="5715"/>
            <wp:wrapNone/>
            <wp:docPr id="2" name="I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231640" cy="584835"/>
                    </a:xfrm>
                    <a:prstGeom prst="rect">
                      <a:avLst/>
                    </a:prstGeom>
                    <a:noFill/>
                    <a:ln>
                      <a:noFill/>
                      <a:prstDash/>
                    </a:ln>
                  </pic:spPr>
                </pic:pic>
              </a:graphicData>
            </a:graphic>
          </wp:anchor>
        </w:drawing>
      </w:r>
    </w:p>
    <w:p w:rsidR="00EE7692" w:rsidRDefault="00EE7692">
      <w:pPr>
        <w:pStyle w:val="Standard"/>
        <w:jc w:val="center"/>
        <w:rPr>
          <w:b/>
          <w:bCs/>
          <w:sz w:val="28"/>
          <w:szCs w:val="28"/>
          <w:lang w:val="en-US"/>
        </w:rPr>
      </w:pPr>
    </w:p>
    <w:p w:rsidR="00EE7692" w:rsidRDefault="00EE7692">
      <w:pPr>
        <w:pStyle w:val="Standard"/>
        <w:jc w:val="center"/>
        <w:rPr>
          <w:b/>
          <w:bCs/>
          <w:sz w:val="28"/>
          <w:szCs w:val="28"/>
          <w:lang w:val="en-US"/>
        </w:rPr>
      </w:pPr>
    </w:p>
    <w:p w:rsidR="00EE7692" w:rsidRDefault="00EE7692">
      <w:pPr>
        <w:pStyle w:val="Standard"/>
        <w:jc w:val="center"/>
        <w:rPr>
          <w:b/>
          <w:bCs/>
          <w:sz w:val="28"/>
          <w:szCs w:val="28"/>
          <w:lang w:val="en-US"/>
        </w:rPr>
      </w:pPr>
    </w:p>
    <w:p w:rsidR="00EE7692" w:rsidRDefault="00EE7692">
      <w:pPr>
        <w:pStyle w:val="Standard"/>
        <w:jc w:val="center"/>
        <w:rPr>
          <w:b/>
          <w:bCs/>
          <w:sz w:val="28"/>
          <w:szCs w:val="28"/>
          <w:lang w:val="en-US"/>
        </w:rPr>
      </w:pPr>
    </w:p>
    <w:p w:rsidR="005403E9" w:rsidRDefault="00740B89">
      <w:pPr>
        <w:pStyle w:val="Standard"/>
        <w:jc w:val="center"/>
        <w:rPr>
          <w:b/>
          <w:bCs/>
          <w:sz w:val="28"/>
          <w:szCs w:val="28"/>
          <w:lang w:val="en-US"/>
        </w:rPr>
      </w:pPr>
      <w:r>
        <w:rPr>
          <w:b/>
          <w:bCs/>
          <w:sz w:val="28"/>
          <w:szCs w:val="28"/>
          <w:lang w:val="en-US"/>
        </w:rPr>
        <w:t>ACADEMIC DISCIPLINE OVERVIEW</w:t>
      </w:r>
    </w:p>
    <w:p w:rsidR="005403E9" w:rsidRDefault="00BE651A">
      <w:pPr>
        <w:pStyle w:val="Standard"/>
      </w:pPr>
      <w:r>
        <w:fldChar w:fldCharType="begin"/>
      </w:r>
      <w:r>
        <w:instrText xml:space="preserve"> FILLIN "" </w:instrText>
      </w:r>
      <w:r>
        <w:fldChar w:fldCharType="separate"/>
      </w:r>
      <w:r w:rsidR="00740B89">
        <w:t xml:space="preserve">1. Program data </w:t>
      </w:r>
      <w:r>
        <w:fldChar w:fldCharType="end"/>
      </w:r>
    </w:p>
    <w:tbl>
      <w:tblPr>
        <w:tblW w:w="10031" w:type="dxa"/>
        <w:tblInd w:w="-108" w:type="dxa"/>
        <w:tblLayout w:type="fixed"/>
        <w:tblCellMar>
          <w:left w:w="10" w:type="dxa"/>
          <w:right w:w="10" w:type="dxa"/>
        </w:tblCellMar>
        <w:tblLook w:val="04A0" w:firstRow="1" w:lastRow="0" w:firstColumn="1" w:lastColumn="0" w:noHBand="0" w:noVBand="1"/>
      </w:tblPr>
      <w:tblGrid>
        <w:gridCol w:w="3825"/>
        <w:gridCol w:w="6206"/>
      </w:tblGrid>
      <w:tr w:rsidR="005403E9">
        <w:tc>
          <w:tcPr>
            <w:tcW w:w="3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BE651A">
            <w:pPr>
              <w:pStyle w:val="Standard"/>
              <w:widowControl w:val="0"/>
            </w:pPr>
            <w:r>
              <w:fldChar w:fldCharType="begin"/>
            </w:r>
            <w:r>
              <w:instrText xml:space="preserve"> FILLIN "" </w:instrText>
            </w:r>
            <w:r>
              <w:fldChar w:fldCharType="separate"/>
            </w:r>
            <w:r w:rsidR="00740B89">
              <w:t xml:space="preserve">1.1. Higher education institution </w:t>
            </w:r>
            <w:r>
              <w:fldChar w:fldCharType="end"/>
            </w:r>
          </w:p>
        </w:tc>
        <w:tc>
          <w:tcPr>
            <w:tcW w:w="6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bCs/>
                <w:lang w:val="en-US"/>
              </w:rPr>
            </w:pPr>
            <w:proofErr w:type="spellStart"/>
            <w:r>
              <w:rPr>
                <w:bCs/>
                <w:lang w:val="en-US"/>
              </w:rPr>
              <w:t>Grigore</w:t>
            </w:r>
            <w:proofErr w:type="spellEnd"/>
            <w:r>
              <w:rPr>
                <w:bCs/>
                <w:lang w:val="en-US"/>
              </w:rPr>
              <w:t xml:space="preserve"> T. </w:t>
            </w:r>
            <w:proofErr w:type="spellStart"/>
            <w:r>
              <w:rPr>
                <w:bCs/>
                <w:lang w:val="en-US"/>
              </w:rPr>
              <w:t>Popa</w:t>
            </w:r>
            <w:proofErr w:type="spellEnd"/>
            <w:r>
              <w:rPr>
                <w:bCs/>
                <w:lang w:val="en-US"/>
              </w:rPr>
              <w:t xml:space="preserve"> University of Medicine and Pharmacy Iasi</w:t>
            </w:r>
          </w:p>
        </w:tc>
      </w:tr>
      <w:tr w:rsidR="005403E9">
        <w:tc>
          <w:tcPr>
            <w:tcW w:w="3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pPr>
            <w:r>
              <w:t xml:space="preserve">1.2. </w:t>
            </w:r>
            <w:r>
              <w:rPr>
                <w:bCs/>
                <w:lang w:val="en-US"/>
              </w:rPr>
              <w:t>Faculty</w:t>
            </w:r>
          </w:p>
        </w:tc>
        <w:tc>
          <w:tcPr>
            <w:tcW w:w="6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bCs/>
                <w:lang w:val="en-US"/>
              </w:rPr>
            </w:pPr>
            <w:r>
              <w:rPr>
                <w:bCs/>
                <w:lang w:val="en-US"/>
              </w:rPr>
              <w:t>Medical Bioengineering</w:t>
            </w:r>
          </w:p>
        </w:tc>
      </w:tr>
      <w:tr w:rsidR="005403E9">
        <w:tc>
          <w:tcPr>
            <w:tcW w:w="3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pPr>
            <w:r>
              <w:t>1.3. Department</w:t>
            </w:r>
          </w:p>
        </w:tc>
        <w:tc>
          <w:tcPr>
            <w:tcW w:w="6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pPr>
            <w:r>
              <w:t>Biomedical Sciences</w:t>
            </w:r>
          </w:p>
        </w:tc>
      </w:tr>
      <w:tr w:rsidR="005403E9">
        <w:tc>
          <w:tcPr>
            <w:tcW w:w="3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pPr>
            <w:r>
              <w:t>1.4. Field of study</w:t>
            </w:r>
          </w:p>
        </w:tc>
        <w:tc>
          <w:tcPr>
            <w:tcW w:w="6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pPr>
            <w:r>
              <w:t>Health</w:t>
            </w:r>
          </w:p>
        </w:tc>
      </w:tr>
      <w:tr w:rsidR="005403E9">
        <w:tc>
          <w:tcPr>
            <w:tcW w:w="3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pPr>
            <w:r>
              <w:t>1.5. The cycle of studies</w:t>
            </w:r>
          </w:p>
        </w:tc>
        <w:tc>
          <w:tcPr>
            <w:tcW w:w="6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bCs/>
                <w:lang w:val="en-US"/>
              </w:rPr>
            </w:pPr>
            <w:r>
              <w:rPr>
                <w:bCs/>
                <w:lang w:val="en-US"/>
              </w:rPr>
              <w:t>Bachelor</w:t>
            </w:r>
          </w:p>
        </w:tc>
      </w:tr>
      <w:tr w:rsidR="005403E9">
        <w:tc>
          <w:tcPr>
            <w:tcW w:w="3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pPr>
            <w:r>
              <w:t>1.6. Study program / qualification</w:t>
            </w:r>
          </w:p>
        </w:tc>
        <w:tc>
          <w:tcPr>
            <w:tcW w:w="6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pPr>
            <w:r>
              <w:t xml:space="preserve">Balneo-physiokinetotherapy and rehabilitation – </w:t>
            </w:r>
            <w:proofErr w:type="spellStart"/>
            <w:r>
              <w:rPr>
                <w:bCs/>
                <w:lang w:val="en-US"/>
              </w:rPr>
              <w:t>english</w:t>
            </w:r>
            <w:proofErr w:type="spellEnd"/>
            <w:r>
              <w:rPr>
                <w:bCs/>
                <w:lang w:val="en-US"/>
              </w:rPr>
              <w:t xml:space="preserve"> language</w:t>
            </w:r>
            <w:r>
              <w:t xml:space="preserve"> / Physiokinetotherapist</w:t>
            </w:r>
          </w:p>
        </w:tc>
      </w:tr>
    </w:tbl>
    <w:p w:rsidR="005403E9" w:rsidRDefault="00740B89">
      <w:pPr>
        <w:pStyle w:val="Standard"/>
      </w:pPr>
      <w:r>
        <w:t xml:space="preserve"> </w:t>
      </w:r>
    </w:p>
    <w:p w:rsidR="005403E9" w:rsidRDefault="00BE651A">
      <w:pPr>
        <w:pStyle w:val="Standard"/>
        <w:spacing w:line="240" w:lineRule="auto"/>
      </w:pPr>
      <w:r>
        <w:fldChar w:fldCharType="begin"/>
      </w:r>
      <w:r>
        <w:instrText xml:space="preserve"> FILLIN "" </w:instrText>
      </w:r>
      <w:r>
        <w:fldChar w:fldCharType="separate"/>
      </w:r>
      <w:r w:rsidR="00740B89">
        <w:t xml:space="preserve">2. Discipline data </w:t>
      </w:r>
      <w:r>
        <w:fldChar w:fldCharType="end"/>
      </w:r>
    </w:p>
    <w:tbl>
      <w:tblPr>
        <w:tblW w:w="10044" w:type="dxa"/>
        <w:tblInd w:w="-108" w:type="dxa"/>
        <w:tblLayout w:type="fixed"/>
        <w:tblCellMar>
          <w:left w:w="10" w:type="dxa"/>
          <w:right w:w="10" w:type="dxa"/>
        </w:tblCellMar>
        <w:tblLook w:val="04A0" w:firstRow="1" w:lastRow="0" w:firstColumn="1" w:lastColumn="0" w:noHBand="0" w:noVBand="1"/>
      </w:tblPr>
      <w:tblGrid>
        <w:gridCol w:w="1950"/>
        <w:gridCol w:w="852"/>
        <w:gridCol w:w="1559"/>
        <w:gridCol w:w="625"/>
        <w:gridCol w:w="3060"/>
        <w:gridCol w:w="426"/>
        <w:gridCol w:w="1572"/>
      </w:tblGrid>
      <w:tr w:rsidR="005403E9" w:rsidTr="005519DE">
        <w:tc>
          <w:tcPr>
            <w:tcW w:w="498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lang w:bidi="ne-NP"/>
              </w:rPr>
            </w:pPr>
            <w:r>
              <w:rPr>
                <w:rFonts w:cs="TimesNewRoman"/>
                <w:lang w:bidi="ne-NP"/>
              </w:rPr>
              <w:t>2.1. Name of the discipline / Code</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b/>
              </w:rPr>
            </w:pPr>
            <w:r>
              <w:rPr>
                <w:b/>
              </w:rPr>
              <w:t>Nutrition and dietetics elements</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b/>
              </w:rPr>
            </w:pPr>
            <w:r>
              <w:rPr>
                <w:b/>
              </w:rPr>
              <w:t>RE1112</w:t>
            </w:r>
          </w:p>
        </w:tc>
      </w:tr>
      <w:tr w:rsidR="005403E9" w:rsidTr="005519DE">
        <w:tc>
          <w:tcPr>
            <w:tcW w:w="498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lang w:bidi="ne-NP"/>
              </w:rPr>
            </w:pPr>
            <w:r>
              <w:rPr>
                <w:rFonts w:cs="TimesNewRoman"/>
                <w:lang w:bidi="ne-NP"/>
              </w:rPr>
              <w:t>2.2. Teaching staff in charge with lectures</w:t>
            </w:r>
          </w:p>
        </w:tc>
        <w:tc>
          <w:tcPr>
            <w:tcW w:w="5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b/>
              </w:rPr>
            </w:pPr>
            <w:r>
              <w:rPr>
                <w:b/>
              </w:rPr>
              <w:t>Lecturer Luminita-Georgeta Confederat, MD, PhD</w:t>
            </w:r>
          </w:p>
        </w:tc>
      </w:tr>
      <w:tr w:rsidR="005403E9" w:rsidTr="005519DE">
        <w:tc>
          <w:tcPr>
            <w:tcW w:w="498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lang w:bidi="ne-NP"/>
              </w:rPr>
            </w:pPr>
            <w:r>
              <w:rPr>
                <w:rFonts w:cs="TimesNewRoman"/>
                <w:lang w:bidi="ne-NP"/>
              </w:rPr>
              <w:t>2.3. Teaching staff in charge with practical activities</w:t>
            </w:r>
          </w:p>
        </w:tc>
        <w:tc>
          <w:tcPr>
            <w:tcW w:w="5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b/>
              </w:rPr>
            </w:pPr>
            <w:r>
              <w:rPr>
                <w:b/>
              </w:rPr>
              <w:t>Lecturer Luminita-Georgeta Confederat, MD, PhD</w:t>
            </w:r>
          </w:p>
        </w:tc>
      </w:tr>
      <w:tr w:rsidR="005403E9" w:rsidTr="005519DE">
        <w:tc>
          <w:tcPr>
            <w:tcW w:w="19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lang w:bidi="ne-NP"/>
              </w:rPr>
            </w:pPr>
            <w:r>
              <w:rPr>
                <w:rFonts w:cs="TimesNewRoman"/>
                <w:lang w:bidi="ne-NP"/>
              </w:rPr>
              <w:t>2.4. Year of study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rPr>
                <w:b/>
              </w:rPr>
            </w:pPr>
            <w:r>
              <w:rPr>
                <w:b/>
              </w:rPr>
              <w:t>I</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lang w:bidi="ne-NP"/>
              </w:rPr>
            </w:pPr>
            <w:r>
              <w:rPr>
                <w:rFonts w:cs="TimesNewRoman"/>
                <w:lang w:bidi="ne-NP"/>
              </w:rPr>
              <w:t>2.5. Semester</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rPr>
                <w:b/>
              </w:rPr>
            </w:pPr>
            <w:r>
              <w:rPr>
                <w:b/>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lang w:bidi="ne-NP"/>
              </w:rPr>
            </w:pPr>
            <w:r>
              <w:rPr>
                <w:rFonts w:cs="TimesNewRoman"/>
                <w:lang w:bidi="ne-NP"/>
              </w:rPr>
              <w:t>2.6. The type of assessment</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rPr>
                <w:b/>
              </w:rPr>
            </w:pPr>
            <w:r>
              <w:rPr>
                <w:b/>
              </w:rPr>
              <w:t>Exam, E2</w:t>
            </w:r>
          </w:p>
        </w:tc>
      </w:tr>
      <w:tr w:rsidR="005403E9" w:rsidTr="005519DE">
        <w:tc>
          <w:tcPr>
            <w:tcW w:w="28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pPr>
            <w:r>
              <w:rPr>
                <w:rFonts w:cs="TimesNewRoman"/>
                <w:lang w:bidi="ne-NP"/>
              </w:rPr>
              <w:t xml:space="preserve">2.7. </w:t>
            </w:r>
            <w:r>
              <w:rPr>
                <w:rFonts w:cs="TimesNewRoman"/>
                <w:shd w:val="clear" w:color="auto" w:fill="F2F2F2"/>
                <w:lang w:bidi="ne-NP"/>
              </w:rPr>
              <w:t>Discipline type</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rFonts w:cs="TimesNewRoman"/>
                <w:b/>
                <w:lang w:bidi="ne-NP"/>
              </w:rPr>
            </w:pPr>
            <w:r>
              <w:rPr>
                <w:rFonts w:cs="TimesNewRoman"/>
                <w:b/>
                <w:lang w:bidi="ne-NP"/>
              </w:rPr>
              <w:t>Mandatory</w:t>
            </w:r>
          </w:p>
        </w:tc>
        <w:tc>
          <w:tcPr>
            <w:tcW w:w="5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rPr>
                <w:rFonts w:cs="TimesNewRoman"/>
                <w:b/>
                <w:lang w:bidi="ne-NP"/>
              </w:rPr>
            </w:pPr>
            <w:r>
              <w:rPr>
                <w:rFonts w:cs="TimesNewRoman"/>
                <w:b/>
                <w:lang w:bidi="ne-NP"/>
              </w:rPr>
              <w:t>Domain discipline</w:t>
            </w:r>
          </w:p>
        </w:tc>
      </w:tr>
    </w:tbl>
    <w:p w:rsidR="005403E9" w:rsidRDefault="005403E9">
      <w:pPr>
        <w:pStyle w:val="Standard"/>
        <w:rPr>
          <w:rFonts w:cs="TimesNewRoman,Bold"/>
          <w:b/>
          <w:bCs/>
          <w:lang w:bidi="ne-NP"/>
        </w:rPr>
      </w:pPr>
    </w:p>
    <w:p w:rsidR="005403E9" w:rsidRDefault="00BE651A">
      <w:pPr>
        <w:pStyle w:val="Standard"/>
        <w:spacing w:line="240" w:lineRule="auto"/>
      </w:pPr>
      <w:r>
        <w:fldChar w:fldCharType="begin"/>
      </w:r>
      <w:r>
        <w:instrText xml:space="preserve"> FILLIN "" </w:instrText>
      </w:r>
      <w:r>
        <w:fldChar w:fldCharType="separate"/>
      </w:r>
      <w:r w:rsidR="00740B89">
        <w:t xml:space="preserve">3. Estimated total time (hours/semester of didactic activity) </w:t>
      </w:r>
      <w:r>
        <w:fldChar w:fldCharType="end"/>
      </w:r>
    </w:p>
    <w:tbl>
      <w:tblPr>
        <w:tblW w:w="10031" w:type="dxa"/>
        <w:tblInd w:w="-108" w:type="dxa"/>
        <w:tblLayout w:type="fixed"/>
        <w:tblCellMar>
          <w:left w:w="10" w:type="dxa"/>
          <w:right w:w="10" w:type="dxa"/>
        </w:tblCellMar>
        <w:tblLook w:val="04A0" w:firstRow="1" w:lastRow="0" w:firstColumn="1" w:lastColumn="0" w:noHBand="0" w:noVBand="1"/>
      </w:tblPr>
      <w:tblGrid>
        <w:gridCol w:w="2093"/>
        <w:gridCol w:w="850"/>
        <w:gridCol w:w="2409"/>
        <w:gridCol w:w="852"/>
        <w:gridCol w:w="849"/>
        <w:gridCol w:w="1559"/>
        <w:gridCol w:w="568"/>
        <w:gridCol w:w="851"/>
      </w:tblGrid>
      <w:tr w:rsidR="005403E9">
        <w:tc>
          <w:tcPr>
            <w:tcW w:w="294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3.1. Number of hours / week:</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
                <w:szCs w:val="20"/>
                <w:lang w:bidi="ne-NP"/>
              </w:rPr>
            </w:pPr>
            <w:r>
              <w:rPr>
                <w:rFonts w:cs="TimesNewRoman"/>
                <w:szCs w:val="20"/>
                <w:lang w:bidi="ne-NP"/>
              </w:rPr>
              <w:t>3.2. Courses number of hours / week</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
                <w:szCs w:val="20"/>
                <w:lang w:bidi="ne-NP"/>
              </w:rPr>
            </w:pPr>
            <w:r>
              <w:rPr>
                <w:rFonts w:cs="TimesNewRoman"/>
                <w:szCs w:val="20"/>
                <w:lang w:bidi="ne-NP"/>
              </w:rPr>
              <w:t>3.3. Seminars / practical classes</w:t>
            </w:r>
          </w:p>
          <w:p w:rsidR="005403E9" w:rsidRDefault="00740B89">
            <w:pPr>
              <w:pStyle w:val="Standard"/>
              <w:widowControl w:val="0"/>
              <w:jc w:val="center"/>
              <w:rPr>
                <w:rFonts w:cs="TimesNewRoman"/>
                <w:szCs w:val="20"/>
                <w:lang w:bidi="ne-NP"/>
              </w:rPr>
            </w:pPr>
            <w:r>
              <w:rPr>
                <w:rFonts w:cs="TimesNewRoman"/>
                <w:szCs w:val="20"/>
                <w:lang w:bidi="ne-NP"/>
              </w:rPr>
              <w:t>number of hours / week</w:t>
            </w:r>
          </w:p>
        </w:tc>
      </w:tr>
      <w:tr w:rsidR="005403E9">
        <w:tc>
          <w:tcPr>
            <w:tcW w:w="20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Semester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
                <w:b/>
                <w:szCs w:val="20"/>
                <w:lang w:bidi="ne-NP"/>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b/>
                <w:szCs w:val="20"/>
                <w:lang w:bidi="ne-NP"/>
              </w:rPr>
            </w:pP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b/>
                <w:szCs w:val="20"/>
                <w:lang w:bidi="ne-NP"/>
              </w:rPr>
            </w:pPr>
          </w:p>
        </w:tc>
      </w:tr>
      <w:tr w:rsidR="005403E9">
        <w:tc>
          <w:tcPr>
            <w:tcW w:w="20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Semester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pPr>
            <w:r>
              <w:rPr>
                <w:rFonts w:cs="TimesNewRoman"/>
                <w:b/>
                <w:szCs w:val="20"/>
                <w:lang w:bidi="ne-NP"/>
              </w:rPr>
              <w:t>2</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pPr>
            <w:r>
              <w:rPr>
                <w:rFonts w:cs="TimesNewRoman,Bold"/>
                <w:b/>
                <w:szCs w:val="20"/>
                <w:lang w:bidi="ne-NP"/>
              </w:rPr>
              <w:t>1</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pPr>
            <w:r>
              <w:rPr>
                <w:rFonts w:cs="TimesNewRoman,Bold"/>
                <w:b/>
                <w:szCs w:val="20"/>
                <w:lang w:bidi="ne-NP"/>
              </w:rPr>
              <w:t>1</w:t>
            </w:r>
          </w:p>
        </w:tc>
      </w:tr>
      <w:tr w:rsidR="005403E9">
        <w:tc>
          <w:tcPr>
            <w:tcW w:w="20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3.4. Total number of learning hours:</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Bold"/>
                <w:b/>
                <w:szCs w:val="20"/>
                <w:lang w:bidi="ne-NP"/>
              </w:rPr>
            </w:pPr>
            <w:r>
              <w:rPr>
                <w:rFonts w:cs="TimesNewRoman,Bold"/>
                <w:b/>
                <w:szCs w:val="20"/>
                <w:lang w:bidi="ne-NP"/>
              </w:rPr>
              <w:t>28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
                <w:szCs w:val="20"/>
                <w:lang w:bidi="ne-NP"/>
              </w:rPr>
            </w:pPr>
            <w:r>
              <w:rPr>
                <w:rFonts w:cs="TimesNewRoman"/>
                <w:szCs w:val="20"/>
                <w:lang w:bidi="ne-NP"/>
              </w:rPr>
              <w:t>3.5. Of which: Courses</w:t>
            </w:r>
          </w:p>
        </w:tc>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Bold"/>
                <w:b/>
                <w:szCs w:val="20"/>
                <w:lang w:bidi="ne-NP"/>
              </w:rPr>
            </w:pPr>
            <w:r>
              <w:rPr>
                <w:rFonts w:cs="TimesNewRoman,Bold"/>
                <w:b/>
                <w:szCs w:val="20"/>
                <w:lang w:bidi="ne-NP"/>
              </w:rPr>
              <w:t>14</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
                <w:szCs w:val="20"/>
                <w:lang w:bidi="ne-NP"/>
              </w:rPr>
            </w:pPr>
            <w:r>
              <w:rPr>
                <w:rFonts w:cs="TimesNewRoman"/>
                <w:szCs w:val="20"/>
                <w:lang w:bidi="ne-NP"/>
              </w:rPr>
              <w:t>3.6. Of which: Seminars / practical classes:</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Bold"/>
                <w:b/>
                <w:szCs w:val="20"/>
                <w:lang w:bidi="ne-NP"/>
              </w:rPr>
            </w:pPr>
            <w:r>
              <w:rPr>
                <w:rFonts w:cs="TimesNewRoman,Bold"/>
                <w:b/>
                <w:szCs w:val="20"/>
                <w:lang w:bidi="ne-NP"/>
              </w:rPr>
              <w:t>14</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3.7. Distribution of individual study time:</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Bold"/>
                <w:szCs w:val="20"/>
                <w:lang w:bidi="ne-NP"/>
              </w:rPr>
            </w:pPr>
            <w:r>
              <w:rPr>
                <w:rFonts w:cs="TimesNewRoman,Bold"/>
                <w:szCs w:val="20"/>
                <w:lang w:bidi="ne-NP"/>
              </w:rPr>
              <w:t>Hours sem. 1</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jc w:val="center"/>
              <w:rPr>
                <w:rFonts w:cs="TimesNewRoman,Bold"/>
                <w:szCs w:val="20"/>
                <w:lang w:bidi="ne-NP"/>
              </w:rPr>
            </w:pPr>
            <w:r>
              <w:rPr>
                <w:rFonts w:cs="TimesNewRoman,Bold"/>
                <w:szCs w:val="20"/>
                <w:lang w:bidi="ne-NP"/>
              </w:rPr>
              <w:t>Hours sem. 2</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Study time using course book materials, bibliography and hand notes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rPr>
                <w:rFonts w:cs="TimesNewRoman,Bold"/>
                <w:szCs w:val="20"/>
                <w:lang w:bidi="ne-NP"/>
              </w:rPr>
            </w:pPr>
            <w:r>
              <w:rPr>
                <w:rFonts w:cs="TimesNewRoman,Bold"/>
                <w:szCs w:val="20"/>
                <w:lang w:bidi="ne-NP"/>
              </w:rPr>
              <w:t>10</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Supplementary documentation in the library, using specialised platforms via internet and by field work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rPr>
                <w:rFonts w:cs="TimesNewRoman,Bold"/>
                <w:szCs w:val="20"/>
                <w:lang w:bidi="ne-NP"/>
              </w:rPr>
            </w:pPr>
            <w:r>
              <w:rPr>
                <w:rFonts w:cs="TimesNewRoman,Bold"/>
                <w:szCs w:val="20"/>
                <w:lang w:bidi="ne-NP"/>
              </w:rPr>
              <w:t>12</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Preparation time for seminars / practical classes, study themes, reviews, portfolio and essays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szCs w:val="20"/>
                <w:lang w:bidi="ne-NP"/>
              </w:rPr>
            </w:pP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Tutorship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8F1404">
            <w:pPr>
              <w:pStyle w:val="Standard"/>
              <w:widowControl w:val="0"/>
              <w:jc w:val="center"/>
              <w:rPr>
                <w:rFonts w:cs="TimesNewRoman,Bold"/>
                <w:szCs w:val="20"/>
                <w:lang w:bidi="ne-NP"/>
              </w:rPr>
            </w:pPr>
            <w:r>
              <w:rPr>
                <w:rFonts w:cs="TimesNewRoman,Bold"/>
                <w:szCs w:val="20"/>
                <w:lang w:bidi="ne-NP"/>
              </w:rPr>
              <w:t>2</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Examinations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rPr>
                <w:rFonts w:cs="TimesNewRoman,Bold"/>
                <w:szCs w:val="20"/>
                <w:lang w:bidi="ne-NP"/>
              </w:rPr>
            </w:pPr>
            <w:r>
              <w:rPr>
                <w:rFonts w:cs="TimesNewRoman,Bold"/>
                <w:szCs w:val="20"/>
                <w:lang w:bidi="ne-NP"/>
              </w:rPr>
              <w:t>2</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Other activities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rPr>
                <w:rFonts w:cs="TimesNewRoman,Bold"/>
                <w:szCs w:val="20"/>
                <w:lang w:bidi="ne-NP"/>
              </w:rPr>
            </w:pPr>
            <w:r>
              <w:rPr>
                <w:rFonts w:cs="TimesNewRoman,Bold"/>
                <w:szCs w:val="20"/>
                <w:lang w:bidi="ne-NP"/>
              </w:rPr>
              <w:t>4</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pPr>
            <w:r>
              <w:rPr>
                <w:rFonts w:cs="TimesNewRoman"/>
                <w:szCs w:val="20"/>
                <w:lang w:bidi="ne-NP"/>
              </w:rPr>
              <w:t>Total hours of individual study (</w:t>
            </w:r>
            <w:r>
              <w:rPr>
                <w:rFonts w:cs="TimesNewRoman"/>
                <w:i/>
                <w:szCs w:val="20"/>
                <w:lang w:bidi="ne-NP"/>
              </w:rPr>
              <w:t>without examinations</w:t>
            </w:r>
            <w:r>
              <w:rPr>
                <w:rFonts w:cs="TimesNewRoman"/>
                <w:szCs w:val="20"/>
                <w:lang w:bidi="ne-NP"/>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
                <w:b/>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pPr>
            <w:r>
              <w:rPr>
                <w:rFonts w:cs="TimesNewRoman"/>
                <w:b/>
                <w:szCs w:val="20"/>
                <w:lang w:bidi="ne-NP"/>
              </w:rPr>
              <w:t>22</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3.8. Total hours per semester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
                <w:b/>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pPr>
            <w:r>
              <w:rPr>
                <w:rFonts w:cs="TimesNewRoman"/>
                <w:b/>
                <w:szCs w:val="20"/>
                <w:lang w:bidi="ne-NP"/>
              </w:rPr>
              <w:t>50</w:t>
            </w:r>
          </w:p>
        </w:tc>
      </w:tr>
      <w:tr w:rsidR="005403E9">
        <w:tc>
          <w:tcPr>
            <w:tcW w:w="705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pPr>
              <w:pStyle w:val="Standard"/>
              <w:widowControl w:val="0"/>
              <w:rPr>
                <w:rFonts w:cs="TimesNewRoman"/>
                <w:szCs w:val="20"/>
                <w:lang w:bidi="ne-NP"/>
              </w:rPr>
            </w:pPr>
            <w:r>
              <w:rPr>
                <w:rFonts w:cs="TimesNewRoman"/>
                <w:szCs w:val="20"/>
                <w:lang w:bidi="ne-NP"/>
              </w:rPr>
              <w:t>3.9. Number of credits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5403E9">
            <w:pPr>
              <w:pStyle w:val="Standard"/>
              <w:widowControl w:val="0"/>
              <w:jc w:val="center"/>
              <w:rPr>
                <w:rFonts w:cs="TimesNewRoman,Bold"/>
                <w:b/>
                <w:szCs w:val="20"/>
                <w:lang w:bidi="ne-NP"/>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center"/>
            </w:pPr>
            <w:r>
              <w:rPr>
                <w:rFonts w:cs="TimesNewRoman,Bold"/>
                <w:b/>
                <w:szCs w:val="20"/>
                <w:lang w:bidi="ne-NP"/>
              </w:rPr>
              <w:t>2</w:t>
            </w:r>
          </w:p>
        </w:tc>
      </w:tr>
    </w:tbl>
    <w:p w:rsidR="005403E9" w:rsidRDefault="005403E9">
      <w:pPr>
        <w:pStyle w:val="Standard"/>
        <w:rPr>
          <w:rFonts w:cs="TimesNewRoman,Bold"/>
          <w:b/>
          <w:bCs/>
          <w:lang w:bidi="ne-NP"/>
        </w:rPr>
      </w:pPr>
    </w:p>
    <w:p w:rsidR="005403E9" w:rsidRDefault="00BE651A">
      <w:pPr>
        <w:pStyle w:val="Standard"/>
        <w:spacing w:line="240" w:lineRule="auto"/>
      </w:pPr>
      <w:r>
        <w:fldChar w:fldCharType="begin"/>
      </w:r>
      <w:r>
        <w:instrText xml:space="preserve"> FILLIN "" </w:instrText>
      </w:r>
      <w:r>
        <w:fldChar w:fldCharType="separate"/>
      </w:r>
      <w:r w:rsidR="00740B89">
        <w:t xml:space="preserve">4. Preconditions (where applicable) </w:t>
      </w:r>
      <w:r>
        <w:fldChar w:fldCharType="end"/>
      </w:r>
    </w:p>
    <w:tbl>
      <w:tblPr>
        <w:tblW w:w="10044" w:type="dxa"/>
        <w:tblInd w:w="-108" w:type="dxa"/>
        <w:tblLayout w:type="fixed"/>
        <w:tblCellMar>
          <w:left w:w="10" w:type="dxa"/>
          <w:right w:w="10" w:type="dxa"/>
        </w:tblCellMar>
        <w:tblLook w:val="04A0" w:firstRow="1" w:lastRow="0" w:firstColumn="1" w:lastColumn="0" w:noHBand="0" w:noVBand="1"/>
      </w:tblPr>
      <w:tblGrid>
        <w:gridCol w:w="2234"/>
        <w:gridCol w:w="7810"/>
      </w:tblGrid>
      <w:tr w:rsidR="005403E9">
        <w:tc>
          <w:tcPr>
            <w:tcW w:w="22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pPr>
              <w:pStyle w:val="Standard"/>
              <w:widowControl w:val="0"/>
              <w:rPr>
                <w:rFonts w:cs="TimesNewRoman"/>
                <w:szCs w:val="20"/>
                <w:lang w:bidi="ne-NP"/>
              </w:rPr>
            </w:pPr>
            <w:r>
              <w:rPr>
                <w:rFonts w:cs="TimesNewRoman"/>
                <w:szCs w:val="20"/>
                <w:lang w:bidi="ne-NP"/>
              </w:rPr>
              <w:t>4.1. of curriculum</w:t>
            </w:r>
          </w:p>
        </w:tc>
        <w:tc>
          <w:tcPr>
            <w:tcW w:w="7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jc w:val="both"/>
              <w:rPr>
                <w:rFonts w:cs="TimesNewRoman,Bold"/>
                <w:szCs w:val="20"/>
                <w:lang w:bidi="ne-NP"/>
              </w:rPr>
            </w:pPr>
            <w:r>
              <w:rPr>
                <w:rFonts w:cs="TimesNewRoman,Bold"/>
                <w:szCs w:val="20"/>
                <w:lang w:bidi="ne-NP"/>
              </w:rPr>
              <w:t>-</w:t>
            </w:r>
          </w:p>
        </w:tc>
      </w:tr>
      <w:tr w:rsidR="005403E9">
        <w:tc>
          <w:tcPr>
            <w:tcW w:w="22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pPr>
              <w:pStyle w:val="Standard"/>
              <w:widowControl w:val="0"/>
              <w:rPr>
                <w:rFonts w:cs="TimesNewRoman"/>
                <w:szCs w:val="20"/>
                <w:lang w:bidi="ne-NP"/>
              </w:rPr>
            </w:pPr>
            <w:r>
              <w:rPr>
                <w:rFonts w:cs="TimesNewRoman"/>
                <w:szCs w:val="20"/>
                <w:lang w:bidi="ne-NP"/>
              </w:rPr>
              <w:t>4.2. of competences</w:t>
            </w:r>
          </w:p>
        </w:tc>
        <w:tc>
          <w:tcPr>
            <w:tcW w:w="7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spacing w:line="276" w:lineRule="auto"/>
            </w:pPr>
            <w:r>
              <w:t>Knowledge of communication means between basic units of living matter and extracellular environment</w:t>
            </w:r>
          </w:p>
        </w:tc>
      </w:tr>
    </w:tbl>
    <w:p w:rsidR="005403E9" w:rsidRDefault="005403E9">
      <w:pPr>
        <w:pStyle w:val="Standard"/>
        <w:rPr>
          <w:rFonts w:cs="TimesNewRoman,Bold"/>
          <w:b/>
          <w:bCs/>
          <w:lang w:bidi="ne-NP"/>
        </w:rPr>
      </w:pPr>
    </w:p>
    <w:p w:rsidR="005403E9" w:rsidRDefault="00BE651A">
      <w:pPr>
        <w:pStyle w:val="Standard"/>
        <w:spacing w:line="240" w:lineRule="auto"/>
      </w:pPr>
      <w:r>
        <w:fldChar w:fldCharType="begin"/>
      </w:r>
      <w:r>
        <w:instrText xml:space="preserve"> FILLIN "" </w:instrText>
      </w:r>
      <w:r>
        <w:fldChar w:fldCharType="separate"/>
      </w:r>
      <w:r w:rsidR="00740B89">
        <w:t xml:space="preserve">5. Conditions (where applicable) </w:t>
      </w:r>
      <w:r>
        <w:fldChar w:fldCharType="end"/>
      </w:r>
    </w:p>
    <w:tbl>
      <w:tblPr>
        <w:tblW w:w="10044" w:type="dxa"/>
        <w:tblInd w:w="-108" w:type="dxa"/>
        <w:tblLayout w:type="fixed"/>
        <w:tblCellMar>
          <w:left w:w="10" w:type="dxa"/>
          <w:right w:w="10" w:type="dxa"/>
        </w:tblCellMar>
        <w:tblLook w:val="04A0" w:firstRow="1" w:lastRow="0" w:firstColumn="1" w:lastColumn="0" w:noHBand="0" w:noVBand="1"/>
      </w:tblPr>
      <w:tblGrid>
        <w:gridCol w:w="2234"/>
        <w:gridCol w:w="7810"/>
      </w:tblGrid>
      <w:tr w:rsidR="005403E9">
        <w:tc>
          <w:tcPr>
            <w:tcW w:w="22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pPr>
              <w:pStyle w:val="Standard"/>
              <w:widowControl w:val="0"/>
              <w:rPr>
                <w:rFonts w:cs="TimesNewRoman,Bold"/>
                <w:szCs w:val="20"/>
                <w:lang w:bidi="ne-NP"/>
              </w:rPr>
            </w:pPr>
            <w:r>
              <w:rPr>
                <w:rFonts w:cs="TimesNewRoman,Bold"/>
                <w:szCs w:val="20"/>
                <w:lang w:bidi="ne-NP"/>
              </w:rPr>
              <w:lastRenderedPageBreak/>
              <w:t>5.1. for lectures</w:t>
            </w:r>
          </w:p>
        </w:tc>
        <w:tc>
          <w:tcPr>
            <w:tcW w:w="7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spacing w:line="276" w:lineRule="auto"/>
              <w:rPr>
                <w:bCs/>
                <w:szCs w:val="20"/>
                <w:lang w:bidi="ne-NP"/>
              </w:rPr>
            </w:pPr>
            <w:r>
              <w:rPr>
                <w:bCs/>
                <w:szCs w:val="20"/>
                <w:lang w:bidi="ne-NP"/>
              </w:rPr>
              <w:t>Projector</w:t>
            </w:r>
          </w:p>
        </w:tc>
      </w:tr>
      <w:tr w:rsidR="005403E9">
        <w:tc>
          <w:tcPr>
            <w:tcW w:w="22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pPr>
              <w:pStyle w:val="Standard"/>
              <w:widowControl w:val="0"/>
              <w:rPr>
                <w:rFonts w:cs="TimesNewRoman,Bold"/>
                <w:szCs w:val="20"/>
                <w:lang w:bidi="ne-NP"/>
              </w:rPr>
            </w:pPr>
            <w:r>
              <w:rPr>
                <w:rFonts w:cs="TimesNewRoman,Bold"/>
                <w:szCs w:val="20"/>
                <w:lang w:bidi="ne-NP"/>
              </w:rPr>
              <w:t>5.2. for seminars / practical classes</w:t>
            </w:r>
          </w:p>
        </w:tc>
        <w:tc>
          <w:tcPr>
            <w:tcW w:w="7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pPr>
              <w:pStyle w:val="Standard"/>
              <w:widowControl w:val="0"/>
              <w:spacing w:line="276" w:lineRule="auto"/>
              <w:rPr>
                <w:bCs/>
                <w:szCs w:val="20"/>
                <w:lang w:bidi="ne-NP"/>
              </w:rPr>
            </w:pPr>
            <w:r>
              <w:rPr>
                <w:bCs/>
                <w:szCs w:val="20"/>
                <w:lang w:bidi="ne-NP"/>
              </w:rPr>
              <w:t>Students will wear protection equipement (white coat)</w:t>
            </w:r>
          </w:p>
        </w:tc>
      </w:tr>
    </w:tbl>
    <w:p w:rsidR="005403E9" w:rsidRDefault="005403E9">
      <w:pPr>
        <w:pStyle w:val="Standard"/>
        <w:ind w:left="720"/>
        <w:rPr>
          <w:rFonts w:cs="TimesNewRoman,Bold"/>
          <w:b/>
          <w:bCs/>
          <w:szCs w:val="20"/>
          <w:lang w:bidi="ne-NP"/>
        </w:rPr>
      </w:pPr>
    </w:p>
    <w:p w:rsidR="00EE7692" w:rsidRDefault="00BE651A">
      <w:pPr>
        <w:pStyle w:val="Standard"/>
        <w:spacing w:line="240" w:lineRule="auto"/>
      </w:pPr>
      <w:r>
        <w:fldChar w:fldCharType="begin"/>
      </w:r>
      <w:r>
        <w:instrText xml:space="preserve"> FILLIN "" </w:instrText>
      </w:r>
      <w:r>
        <w:fldChar w:fldCharType="separate"/>
      </w:r>
      <w:r w:rsidR="00740B89">
        <w:t xml:space="preserve">6. Specific competences acquired </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80"/>
        <w:gridCol w:w="8663"/>
      </w:tblGrid>
      <w:tr w:rsidR="00EE7692" w:rsidRPr="00EE7692" w:rsidTr="00EE7692">
        <w:trPr>
          <w:cantSplit/>
          <w:trHeight w:val="880"/>
        </w:trPr>
        <w:tc>
          <w:tcPr>
            <w:tcW w:w="675" w:type="dxa"/>
            <w:vMerge w:val="restart"/>
            <w:shd w:val="clear" w:color="auto" w:fill="F3F3F3"/>
            <w:textDirection w:val="btLr"/>
            <w:vAlign w:val="center"/>
          </w:tcPr>
          <w:p w:rsidR="00EE7692" w:rsidRPr="00EE7692" w:rsidRDefault="00EE7692" w:rsidP="008D759B">
            <w:pPr>
              <w:autoSpaceDE w:val="0"/>
              <w:adjustRightInd w:val="0"/>
              <w:ind w:left="115" w:right="115"/>
              <w:jc w:val="center"/>
              <w:rPr>
                <w:rFonts w:cs="TimesNewRoman,Bold"/>
                <w:b/>
                <w:bCs/>
                <w:sz w:val="20"/>
                <w:szCs w:val="20"/>
                <w:lang w:bidi="ne-NP"/>
              </w:rPr>
            </w:pPr>
            <w:r w:rsidRPr="00EE7692">
              <w:rPr>
                <w:rFonts w:cs="TimesNewRoman,Bold"/>
                <w:b/>
                <w:bCs/>
                <w:sz w:val="20"/>
                <w:szCs w:val="20"/>
                <w:lang w:bidi="ne-NP"/>
              </w:rPr>
              <w:t>Professional competencies</w:t>
            </w:r>
          </w:p>
        </w:tc>
        <w:tc>
          <w:tcPr>
            <w:tcW w:w="580" w:type="dxa"/>
            <w:shd w:val="clear" w:color="auto" w:fill="F3F3F3"/>
            <w:textDirection w:val="btLr"/>
          </w:tcPr>
          <w:p w:rsidR="00EE7692" w:rsidRPr="00EE7692" w:rsidRDefault="0031486C" w:rsidP="008D759B">
            <w:pPr>
              <w:pStyle w:val="Default"/>
              <w:ind w:left="113" w:right="113"/>
              <w:jc w:val="center"/>
              <w:rPr>
                <w:rFonts w:ascii="Trebuchet MS" w:hAnsi="Trebuchet MS" w:cs="TimesNewRoman,Bold"/>
                <w:b/>
                <w:bCs/>
                <w:sz w:val="20"/>
                <w:szCs w:val="20"/>
                <w:lang w:val="ro-RO" w:bidi="ne-NP"/>
              </w:rPr>
            </w:pPr>
            <w:r>
              <w:rPr>
                <w:rFonts w:ascii="Trebuchet MS" w:hAnsi="Trebuchet MS" w:cs="TimesNewRoman,Bold"/>
                <w:b/>
                <w:bCs/>
                <w:sz w:val="20"/>
                <w:szCs w:val="20"/>
                <w:lang w:val="ro-RO" w:bidi="ne-NP"/>
              </w:rPr>
              <w:t>C1.3</w:t>
            </w:r>
            <w:r w:rsidR="00EE7692" w:rsidRPr="00EE7692">
              <w:rPr>
                <w:rFonts w:ascii="Trebuchet MS" w:hAnsi="Trebuchet MS" w:cs="TimesNewRoman,Bold"/>
                <w:b/>
                <w:bCs/>
                <w:sz w:val="20"/>
                <w:szCs w:val="20"/>
                <w:lang w:val="ro-RO" w:bidi="ne-NP"/>
              </w:rPr>
              <w:fldChar w:fldCharType="begin"/>
            </w:r>
            <w:r w:rsidR="00EE7692" w:rsidRPr="00EE7692">
              <w:rPr>
                <w:rFonts w:ascii="Trebuchet MS" w:hAnsi="Trebuchet MS" w:cs="TimesNewRoman,Bold"/>
                <w:b/>
                <w:bCs/>
                <w:sz w:val="20"/>
                <w:szCs w:val="20"/>
                <w:lang w:val="ro-RO" w:bidi="ne-NP"/>
              </w:rPr>
              <w:instrText xml:space="preserve"> MERGEFIELD C_P_1 \*charformat </w:instrText>
            </w:r>
            <w:r w:rsidR="00EE7692" w:rsidRPr="00EE7692">
              <w:rPr>
                <w:rFonts w:ascii="Trebuchet MS" w:hAnsi="Trebuchet MS" w:cs="TimesNewRoman,Bold"/>
                <w:b/>
                <w:bCs/>
                <w:sz w:val="20"/>
                <w:szCs w:val="20"/>
                <w:lang w:val="ro-RO" w:bidi="ne-NP"/>
              </w:rPr>
              <w:fldChar w:fldCharType="end"/>
            </w:r>
          </w:p>
        </w:tc>
        <w:tc>
          <w:tcPr>
            <w:tcW w:w="8663" w:type="dxa"/>
            <w:shd w:val="clear" w:color="auto" w:fill="auto"/>
          </w:tcPr>
          <w:p w:rsidR="00EE7692" w:rsidRPr="0031486C" w:rsidRDefault="00EE7692" w:rsidP="008D759B">
            <w:pPr>
              <w:pStyle w:val="Standard"/>
              <w:widowControl w:val="0"/>
              <w:spacing w:line="240" w:lineRule="auto"/>
              <w:rPr>
                <w:bCs/>
                <w:szCs w:val="20"/>
                <w:lang w:val="en-US"/>
              </w:rPr>
            </w:pPr>
            <w:r w:rsidRPr="00EE7692">
              <w:rPr>
                <w:bCs/>
                <w:szCs w:val="20"/>
                <w:lang w:val="en-US"/>
              </w:rPr>
              <w:t>Formulation of hypotheses and operationalization of key concepts to explain syndromes and / or diseases</w:t>
            </w:r>
            <w:r w:rsidR="0031486C">
              <w:rPr>
                <w:bCs/>
                <w:szCs w:val="20"/>
                <w:lang w:val="en-US"/>
              </w:rPr>
              <w:t>.</w:t>
            </w:r>
            <w:r w:rsidRPr="00EE7692">
              <w:rPr>
                <w:rFonts w:cs="TimesNewRoman,Bold"/>
                <w:bCs/>
                <w:szCs w:val="20"/>
                <w:lang w:bidi="ne-NP"/>
              </w:rPr>
              <w:t xml:space="preserve">Application of kinetotherapy programs in relation to functional diagnosis and physician's indications, and also carrying out secondary prophylaxis. </w:t>
            </w:r>
          </w:p>
        </w:tc>
      </w:tr>
      <w:tr w:rsidR="00EE7692" w:rsidRPr="00EE7692" w:rsidTr="00EE7692">
        <w:trPr>
          <w:cantSplit/>
          <w:trHeight w:val="834"/>
        </w:trPr>
        <w:tc>
          <w:tcPr>
            <w:tcW w:w="675" w:type="dxa"/>
            <w:vMerge/>
            <w:shd w:val="clear" w:color="auto" w:fill="F3F3F3"/>
            <w:textDirection w:val="btLr"/>
            <w:vAlign w:val="center"/>
          </w:tcPr>
          <w:p w:rsidR="00EE7692" w:rsidRPr="00EE7692" w:rsidRDefault="00EE7692" w:rsidP="008D759B">
            <w:pPr>
              <w:autoSpaceDE w:val="0"/>
              <w:adjustRightInd w:val="0"/>
              <w:ind w:left="115" w:right="115"/>
              <w:jc w:val="center"/>
              <w:rPr>
                <w:rFonts w:cs="TimesNewRoman,Bold"/>
                <w:b/>
                <w:bCs/>
                <w:sz w:val="20"/>
                <w:szCs w:val="20"/>
                <w:lang w:bidi="ne-NP"/>
              </w:rPr>
            </w:pPr>
          </w:p>
        </w:tc>
        <w:tc>
          <w:tcPr>
            <w:tcW w:w="580" w:type="dxa"/>
            <w:shd w:val="clear" w:color="auto" w:fill="F3F3F3"/>
            <w:textDirection w:val="btLr"/>
          </w:tcPr>
          <w:p w:rsidR="00EE7692" w:rsidRPr="00EE7692" w:rsidRDefault="0031486C" w:rsidP="008D759B">
            <w:pPr>
              <w:pStyle w:val="Default"/>
              <w:ind w:left="113" w:right="113"/>
              <w:jc w:val="center"/>
              <w:rPr>
                <w:rFonts w:ascii="Trebuchet MS" w:hAnsi="Trebuchet MS" w:cs="TimesNewRoman,Bold"/>
                <w:b/>
                <w:bCs/>
                <w:sz w:val="20"/>
                <w:szCs w:val="20"/>
                <w:lang w:val="ro-RO" w:bidi="ne-NP"/>
              </w:rPr>
            </w:pPr>
            <w:r>
              <w:rPr>
                <w:rFonts w:ascii="Trebuchet MS" w:hAnsi="Trebuchet MS" w:cs="TimesNewRoman,Bold"/>
                <w:b/>
                <w:bCs/>
                <w:sz w:val="20"/>
                <w:szCs w:val="20"/>
                <w:lang w:val="ro-RO" w:bidi="ne-NP"/>
              </w:rPr>
              <w:t>C 1.5</w:t>
            </w:r>
          </w:p>
        </w:tc>
        <w:tc>
          <w:tcPr>
            <w:tcW w:w="8663" w:type="dxa"/>
            <w:shd w:val="clear" w:color="auto" w:fill="auto"/>
          </w:tcPr>
          <w:p w:rsidR="00EE7692" w:rsidRDefault="00EE7692" w:rsidP="008D759B">
            <w:pPr>
              <w:pStyle w:val="Default"/>
              <w:rPr>
                <w:rFonts w:ascii="Trebuchet MS" w:hAnsi="Trebuchet MS"/>
                <w:bCs/>
                <w:sz w:val="20"/>
                <w:szCs w:val="20"/>
              </w:rPr>
            </w:pPr>
            <w:r w:rsidRPr="00EE7692">
              <w:rPr>
                <w:rFonts w:ascii="Trebuchet MS" w:hAnsi="Trebuchet MS"/>
                <w:bCs/>
                <w:sz w:val="20"/>
                <w:szCs w:val="20"/>
              </w:rPr>
              <w:t>Awareness of the importance and impact on human health preventive medicine. The ability to plan the use of resources and materials to effectively manage time budget.</w:t>
            </w:r>
          </w:p>
          <w:p w:rsidR="0031486C" w:rsidRPr="00EE7692" w:rsidRDefault="0031486C" w:rsidP="008D759B">
            <w:pPr>
              <w:pStyle w:val="Default"/>
              <w:rPr>
                <w:rFonts w:ascii="Trebuchet MS" w:hAnsi="Trebuchet MS" w:cs="TimesNewRoman,Bold"/>
                <w:bCs/>
                <w:sz w:val="20"/>
                <w:szCs w:val="20"/>
                <w:lang w:val="ro-RO" w:bidi="ne-NP"/>
              </w:rPr>
            </w:pPr>
            <w:r w:rsidRPr="0031486C">
              <w:rPr>
                <w:rFonts w:ascii="Trebuchet MS" w:hAnsi="Trebuchet MS" w:cs="TimesNewRoman,Bold"/>
                <w:bCs/>
                <w:sz w:val="20"/>
                <w:szCs w:val="20"/>
                <w:lang w:val="ro-RO" w:bidi="ne-NP"/>
              </w:rPr>
              <w:t>Treatment of various diseases and conditions of the human body by using the specific means of physical therapy.</w:t>
            </w:r>
          </w:p>
        </w:tc>
      </w:tr>
    </w:tbl>
    <w:p w:rsidR="005403E9" w:rsidRDefault="005403E9" w:rsidP="008D759B">
      <w:pPr>
        <w:pStyle w:val="Standard"/>
        <w:rPr>
          <w:rFonts w:cs="TimesNewRoman"/>
          <w:szCs w:val="20"/>
          <w:lang w:bidi="ne-NP"/>
        </w:rPr>
      </w:pPr>
    </w:p>
    <w:p w:rsidR="005403E9" w:rsidRDefault="00BE651A">
      <w:pPr>
        <w:pStyle w:val="Standard"/>
        <w:spacing w:line="240" w:lineRule="auto"/>
      </w:pPr>
      <w:r>
        <w:fldChar w:fldCharType="begin"/>
      </w:r>
      <w:r>
        <w:instrText xml:space="preserve"> FILLIN "" </w:instrText>
      </w:r>
      <w:r>
        <w:fldChar w:fldCharType="separate"/>
      </w:r>
      <w:r w:rsidR="00740B89">
        <w:t xml:space="preserve">7. Objectives of the study discipline (according to the grid of specific competences acquired) </w:t>
      </w:r>
      <w:r>
        <w:fldChar w:fldCharType="end"/>
      </w:r>
    </w:p>
    <w:tbl>
      <w:tblPr>
        <w:tblW w:w="10044" w:type="dxa"/>
        <w:tblInd w:w="-108" w:type="dxa"/>
        <w:tblLayout w:type="fixed"/>
        <w:tblCellMar>
          <w:left w:w="10" w:type="dxa"/>
          <w:right w:w="10" w:type="dxa"/>
        </w:tblCellMar>
        <w:tblLook w:val="04A0" w:firstRow="1" w:lastRow="0" w:firstColumn="1" w:lastColumn="0" w:noHBand="0" w:noVBand="1"/>
      </w:tblPr>
      <w:tblGrid>
        <w:gridCol w:w="2358"/>
        <w:gridCol w:w="7686"/>
      </w:tblGrid>
      <w:tr w:rsidR="005403E9">
        <w:tc>
          <w:tcPr>
            <w:tcW w:w="23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
                <w:szCs w:val="20"/>
                <w:lang w:bidi="ne-NP"/>
              </w:rPr>
            </w:pPr>
            <w:r>
              <w:rPr>
                <w:rFonts w:cs="TimesNewRoman"/>
                <w:szCs w:val="20"/>
                <w:lang w:bidi="ne-NP"/>
              </w:rPr>
              <w:t>7.1. General objective</w:t>
            </w:r>
          </w:p>
        </w:tc>
        <w:tc>
          <w:tcPr>
            <w:tcW w:w="7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rsidP="008D759B">
            <w:pPr>
              <w:pStyle w:val="Standard"/>
              <w:widowControl w:val="0"/>
              <w:snapToGrid w:val="0"/>
              <w:spacing w:line="240" w:lineRule="auto"/>
              <w:ind w:right="62"/>
              <w:rPr>
                <w:bCs/>
                <w:lang w:val="en-US"/>
              </w:rPr>
            </w:pPr>
            <w:r>
              <w:rPr>
                <w:bCs/>
                <w:lang w:val="en-US"/>
              </w:rPr>
              <w:t>Knowledge of the principles and fundamentals elements of nutrition and dietetics.</w:t>
            </w:r>
          </w:p>
        </w:tc>
      </w:tr>
      <w:tr w:rsidR="005403E9">
        <w:tc>
          <w:tcPr>
            <w:tcW w:w="23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
                <w:szCs w:val="20"/>
                <w:lang w:bidi="ne-NP"/>
              </w:rPr>
            </w:pPr>
            <w:r>
              <w:rPr>
                <w:rFonts w:cs="TimesNewRoman"/>
                <w:szCs w:val="20"/>
                <w:lang w:bidi="ne-NP"/>
              </w:rPr>
              <w:t>7.2. Specific objectives</w:t>
            </w:r>
          </w:p>
        </w:tc>
        <w:tc>
          <w:tcPr>
            <w:tcW w:w="7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rsidP="008D759B">
            <w:pPr>
              <w:pStyle w:val="Standard"/>
              <w:widowControl w:val="0"/>
              <w:spacing w:line="240" w:lineRule="auto"/>
            </w:pPr>
            <w:r>
              <w:rPr>
                <w:bCs/>
                <w:szCs w:val="20"/>
                <w:lang w:val="en-US"/>
              </w:rPr>
              <w:t>Knowledge of general notions of</w:t>
            </w:r>
            <w:r>
              <w:rPr>
                <w:b/>
                <w:bCs/>
                <w:szCs w:val="20"/>
                <w:lang w:val="en-US"/>
              </w:rPr>
              <w:t xml:space="preserve"> </w:t>
            </w:r>
            <w:r>
              <w:rPr>
                <w:szCs w:val="20"/>
                <w:lang w:val="en-US"/>
              </w:rPr>
              <w:t>nutritional status, as well as establishing a diet in both acute and chronic diseases. The diet is important at all stages of life, in iatrogenic pathology and allergy, etc.</w:t>
            </w:r>
          </w:p>
          <w:p w:rsidR="005403E9" w:rsidRDefault="00740B89" w:rsidP="008D759B">
            <w:pPr>
              <w:pStyle w:val="Standard"/>
              <w:widowControl w:val="0"/>
              <w:spacing w:line="240" w:lineRule="auto"/>
              <w:rPr>
                <w:lang w:val="en-US"/>
              </w:rPr>
            </w:pPr>
            <w:r>
              <w:rPr>
                <w:lang w:val="en-US"/>
              </w:rPr>
              <w:t>This discipline aims to guide the student on proper diet schemes for healthy and sick man.</w:t>
            </w:r>
          </w:p>
        </w:tc>
      </w:tr>
    </w:tbl>
    <w:p w:rsidR="005403E9" w:rsidRDefault="005403E9">
      <w:pPr>
        <w:pStyle w:val="Standard"/>
        <w:ind w:left="720"/>
        <w:rPr>
          <w:rFonts w:cs="TimesNewRoman,Bold"/>
          <w:b/>
          <w:bCs/>
          <w:lang w:bidi="ne-NP"/>
        </w:rPr>
      </w:pPr>
    </w:p>
    <w:p w:rsidR="005403E9" w:rsidRDefault="00BE651A">
      <w:pPr>
        <w:pStyle w:val="Standard"/>
        <w:spacing w:line="240" w:lineRule="auto"/>
      </w:pPr>
      <w:r>
        <w:fldChar w:fldCharType="begin"/>
      </w:r>
      <w:r>
        <w:instrText xml:space="preserve"> FILLIN "" </w:instrText>
      </w:r>
      <w:r>
        <w:fldChar w:fldCharType="separate"/>
      </w:r>
      <w:r w:rsidR="00740B89">
        <w:t xml:space="preserve">8. Contents </w:t>
      </w:r>
      <w:r>
        <w:fldChar w:fldCharType="end"/>
      </w:r>
    </w:p>
    <w:tbl>
      <w:tblPr>
        <w:tblW w:w="10137" w:type="dxa"/>
        <w:tblInd w:w="-108" w:type="dxa"/>
        <w:tblLayout w:type="fixed"/>
        <w:tblCellMar>
          <w:left w:w="10" w:type="dxa"/>
          <w:right w:w="10" w:type="dxa"/>
        </w:tblCellMar>
        <w:tblLook w:val="04A0" w:firstRow="1" w:lastRow="0" w:firstColumn="1" w:lastColumn="0" w:noHBand="0" w:noVBand="1"/>
      </w:tblPr>
      <w:tblGrid>
        <w:gridCol w:w="451"/>
        <w:gridCol w:w="6785"/>
        <w:gridCol w:w="1472"/>
        <w:gridCol w:w="1429"/>
      </w:tblGrid>
      <w:tr w:rsidR="005403E9" w:rsidTr="008D759B">
        <w:tc>
          <w:tcPr>
            <w:tcW w:w="723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
                <w:bCs/>
                <w:szCs w:val="20"/>
                <w:lang w:bidi="ne-NP"/>
              </w:rPr>
            </w:pPr>
            <w:r>
              <w:rPr>
                <w:rFonts w:cs="TimesNewRoman,Bold"/>
                <w:b/>
                <w:bCs/>
                <w:szCs w:val="20"/>
                <w:lang w:bidi="ne-NP"/>
              </w:rPr>
              <w:t>8.1. Lectures</w:t>
            </w:r>
          </w:p>
        </w:tc>
        <w:tc>
          <w:tcPr>
            <w:tcW w:w="14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rsidP="008D759B">
            <w:pPr>
              <w:pStyle w:val="Standard"/>
              <w:widowControl w:val="0"/>
              <w:spacing w:line="240" w:lineRule="auto"/>
              <w:rPr>
                <w:rFonts w:cs="TimesNewRoman,Bold"/>
                <w:b/>
                <w:bCs/>
                <w:szCs w:val="20"/>
                <w:lang w:val="en-US" w:bidi="ne-NP"/>
              </w:rPr>
            </w:pPr>
            <w:r>
              <w:rPr>
                <w:rFonts w:cs="TimesNewRoman,Bold"/>
                <w:b/>
                <w:bCs/>
                <w:szCs w:val="20"/>
                <w:lang w:val="en-US" w:bidi="ne-NP"/>
              </w:rPr>
              <w:t>Teaching methods</w:t>
            </w:r>
          </w:p>
        </w:tc>
        <w:tc>
          <w:tcPr>
            <w:tcW w:w="1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rsidP="008D759B">
            <w:pPr>
              <w:pStyle w:val="Standard"/>
              <w:widowControl w:val="0"/>
              <w:spacing w:line="240" w:lineRule="auto"/>
              <w:rPr>
                <w:rFonts w:cs="TimesNewRoman,Bold"/>
                <w:b/>
                <w:bCs/>
                <w:szCs w:val="20"/>
                <w:lang w:bidi="ne-NP"/>
              </w:rPr>
            </w:pPr>
            <w:r>
              <w:rPr>
                <w:rFonts w:cs="TimesNewRoman,Bold"/>
                <w:b/>
                <w:bCs/>
                <w:szCs w:val="20"/>
                <w:lang w:bidi="ne-NP"/>
              </w:rPr>
              <w:t>Observations</w:t>
            </w:r>
          </w:p>
        </w:tc>
      </w:tr>
      <w:tr w:rsidR="008D759B" w:rsidTr="008D759B">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1</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pPr>
            <w:r>
              <w:rPr>
                <w:bCs/>
                <w:szCs w:val="20"/>
                <w:lang w:val="en-US"/>
              </w:rPr>
              <w:t xml:space="preserve">1. </w:t>
            </w:r>
            <w:r>
              <w:rPr>
                <w:szCs w:val="20"/>
                <w:lang w:val="en-US"/>
              </w:rPr>
              <w:t>Physiological bases of nutrition. Digestion and absorption of the main food groups. The main macro and micronutrients.</w:t>
            </w:r>
          </w:p>
        </w:tc>
        <w:tc>
          <w:tcPr>
            <w:tcW w:w="14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p>
          <w:p w:rsidR="008D759B" w:rsidRDefault="008D759B" w:rsidP="008D759B">
            <w:pPr>
              <w:pStyle w:val="Standard"/>
              <w:widowControl w:val="0"/>
              <w:spacing w:line="240" w:lineRule="auto"/>
              <w:rPr>
                <w:rFonts w:cs="TimesNewRoman"/>
                <w:szCs w:val="20"/>
                <w:lang w:bidi="ne-NP"/>
              </w:rPr>
            </w:pPr>
            <w:r>
              <w:rPr>
                <w:rFonts w:cs="TimesNewRoman"/>
                <w:szCs w:val="20"/>
                <w:lang w:bidi="ne-NP"/>
              </w:rPr>
              <w:t>Interactive lecture, discussions, explanations</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D759B">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2</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pPr>
            <w:r>
              <w:rPr>
                <w:bCs/>
                <w:szCs w:val="20"/>
                <w:lang w:val="en-US"/>
              </w:rPr>
              <w:t xml:space="preserve">2. </w:t>
            </w:r>
            <w:r>
              <w:rPr>
                <w:szCs w:val="20"/>
                <w:lang w:val="en-US"/>
              </w:rPr>
              <w:t>Healthy human diet (by age group). Normal eating behavior. Eating disorders: anorexia nervosa. Bulimia nervosa and other eating disorders.</w:t>
            </w:r>
          </w:p>
        </w:tc>
        <w:tc>
          <w:tcPr>
            <w:tcW w:w="1472" w:type="dxa"/>
            <w:vMerge/>
            <w:tcBorders>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rFonts w:cs="TimesNewRoman"/>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D759B">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3</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Default"/>
              <w:widowControl w:val="0"/>
            </w:pPr>
            <w:r>
              <w:rPr>
                <w:rFonts w:ascii="Trebuchet MS" w:hAnsi="Trebuchet MS"/>
                <w:sz w:val="20"/>
                <w:szCs w:val="20"/>
                <w:lang w:val="ro-RO"/>
              </w:rPr>
              <w:t xml:space="preserve">3. </w:t>
            </w:r>
            <w:r>
              <w:rPr>
                <w:rFonts w:ascii="Trebuchet MS" w:hAnsi="Trebuchet MS"/>
                <w:sz w:val="20"/>
                <w:szCs w:val="20"/>
              </w:rPr>
              <w:t>Nutritional status. Means for assessing nutritional status (anthropometric indices, laboratory explorations). Obesity and malnutrition.</w:t>
            </w:r>
          </w:p>
        </w:tc>
        <w:tc>
          <w:tcPr>
            <w:tcW w:w="1472" w:type="dxa"/>
            <w:vMerge/>
            <w:tcBorders>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rFonts w:cs="TimesNewRoman"/>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D759B">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4</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pPr>
            <w:r>
              <w:rPr>
                <w:bCs/>
                <w:szCs w:val="20"/>
                <w:lang w:val="en-US"/>
              </w:rPr>
              <w:t>4.</w:t>
            </w:r>
            <w:r>
              <w:rPr>
                <w:szCs w:val="20"/>
                <w:lang w:val="en-US"/>
              </w:rPr>
              <w:t xml:space="preserve"> Stages of development and individualization of diet. Prophylactic diet, implementing the principles of nutritional education, assessing and monitoring the results.</w:t>
            </w:r>
          </w:p>
        </w:tc>
        <w:tc>
          <w:tcPr>
            <w:tcW w:w="1472" w:type="dxa"/>
            <w:vMerge/>
            <w:tcBorders>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rFonts w:cs="TimesNewRoman"/>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D759B">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5</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pPr>
            <w:proofErr w:type="gramStart"/>
            <w:r>
              <w:rPr>
                <w:bCs/>
                <w:szCs w:val="20"/>
                <w:lang w:val="en-US"/>
              </w:rPr>
              <w:t>5.Curative</w:t>
            </w:r>
            <w:proofErr w:type="gramEnd"/>
            <w:r>
              <w:rPr>
                <w:bCs/>
                <w:szCs w:val="20"/>
                <w:lang w:val="en-US"/>
              </w:rPr>
              <w:t xml:space="preserve"> diets. </w:t>
            </w:r>
            <w:r>
              <w:rPr>
                <w:szCs w:val="20"/>
                <w:lang w:val="en-US"/>
              </w:rPr>
              <w:t>Food groups containing reduced: calories, carbohydrates, lipids, proteins, fiber.</w:t>
            </w:r>
          </w:p>
        </w:tc>
        <w:tc>
          <w:tcPr>
            <w:tcW w:w="1472" w:type="dxa"/>
            <w:vMerge/>
            <w:tcBorders>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D759B">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6</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pPr>
            <w:r>
              <w:rPr>
                <w:bCs/>
                <w:szCs w:val="20"/>
                <w:lang w:val="en-US"/>
              </w:rPr>
              <w:t>6.</w:t>
            </w:r>
            <w:r>
              <w:rPr>
                <w:szCs w:val="20"/>
                <w:lang w:val="en-US"/>
              </w:rPr>
              <w:t xml:space="preserve"> Principles of diet in nutrition and metabolic diseases (diabetes, rickets, malnutrition, obesity, dyslipidemia, inborn errors of metabolism)</w:t>
            </w:r>
          </w:p>
        </w:tc>
        <w:tc>
          <w:tcPr>
            <w:tcW w:w="1472" w:type="dxa"/>
            <w:vMerge/>
            <w:tcBorders>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rFonts w:cs="TimesNewRoman"/>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D759B">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7</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pPr>
            <w:r>
              <w:rPr>
                <w:bCs/>
                <w:szCs w:val="20"/>
                <w:lang w:val="en-US"/>
              </w:rPr>
              <w:t>7.</w:t>
            </w:r>
            <w:r>
              <w:rPr>
                <w:szCs w:val="20"/>
                <w:lang w:val="en-US"/>
              </w:rPr>
              <w:t xml:space="preserve"> Principles of diet in cardiovascular (congenital heart disease, hypertension), digestive (cystic fibrosis, celiac disease, food intolerance, </w:t>
            </w:r>
            <w:proofErr w:type="spellStart"/>
            <w:r>
              <w:rPr>
                <w:szCs w:val="20"/>
                <w:lang w:val="en-US"/>
              </w:rPr>
              <w:t>malabsorption</w:t>
            </w:r>
            <w:proofErr w:type="spellEnd"/>
            <w:r>
              <w:rPr>
                <w:szCs w:val="20"/>
                <w:lang w:val="en-US"/>
              </w:rPr>
              <w:t xml:space="preserve"> syndrome, pancreatitis), renal (</w:t>
            </w:r>
            <w:proofErr w:type="spellStart"/>
            <w:r>
              <w:rPr>
                <w:szCs w:val="20"/>
                <w:lang w:val="en-US"/>
              </w:rPr>
              <w:t>nephrotic</w:t>
            </w:r>
            <w:proofErr w:type="spellEnd"/>
            <w:r>
              <w:rPr>
                <w:szCs w:val="20"/>
                <w:lang w:val="en-US"/>
              </w:rPr>
              <w:t xml:space="preserve"> syndrome, glomerulonephritis, chronic kidney disease), neurological diseases.</w:t>
            </w:r>
          </w:p>
        </w:tc>
        <w:tc>
          <w:tcPr>
            <w:tcW w:w="147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rFonts w:cs="TimesNewRoman"/>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bl>
    <w:p w:rsidR="005403E9" w:rsidRDefault="005403E9">
      <w:pPr>
        <w:pStyle w:val="Standard"/>
        <w:rPr>
          <w:rFonts w:cs="TimesNewRoman,Bold"/>
          <w:b/>
          <w:bCs/>
          <w:szCs w:val="20"/>
          <w:lang w:bidi="ne-NP"/>
        </w:rPr>
      </w:pPr>
    </w:p>
    <w:tbl>
      <w:tblPr>
        <w:tblW w:w="10137" w:type="dxa"/>
        <w:tblInd w:w="-108" w:type="dxa"/>
        <w:tblLayout w:type="fixed"/>
        <w:tblCellMar>
          <w:left w:w="10" w:type="dxa"/>
          <w:right w:w="10" w:type="dxa"/>
        </w:tblCellMar>
        <w:tblLook w:val="04A0" w:firstRow="1" w:lastRow="0" w:firstColumn="1" w:lastColumn="0" w:noHBand="0" w:noVBand="1"/>
      </w:tblPr>
      <w:tblGrid>
        <w:gridCol w:w="451"/>
        <w:gridCol w:w="6263"/>
        <w:gridCol w:w="1994"/>
        <w:gridCol w:w="1429"/>
      </w:tblGrid>
      <w:tr w:rsidR="005403E9">
        <w:tc>
          <w:tcPr>
            <w:tcW w:w="671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
                <w:bCs/>
                <w:szCs w:val="20"/>
                <w:lang w:bidi="ne-NP"/>
              </w:rPr>
            </w:pPr>
            <w:r>
              <w:rPr>
                <w:rFonts w:cs="TimesNewRoman,Bold"/>
                <w:b/>
                <w:bCs/>
                <w:szCs w:val="20"/>
                <w:lang w:bidi="ne-NP"/>
              </w:rPr>
              <w:t>8.2. Practical activities - practical class</w:t>
            </w:r>
          </w:p>
        </w:tc>
        <w:tc>
          <w:tcPr>
            <w:tcW w:w="1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rsidP="008D759B">
            <w:pPr>
              <w:pStyle w:val="Standard"/>
              <w:widowControl w:val="0"/>
              <w:spacing w:line="240" w:lineRule="auto"/>
              <w:rPr>
                <w:rFonts w:cs="TimesNewRoman,Bold"/>
                <w:b/>
                <w:bCs/>
                <w:szCs w:val="20"/>
                <w:lang w:val="en-US" w:bidi="ne-NP"/>
              </w:rPr>
            </w:pPr>
            <w:r>
              <w:rPr>
                <w:rFonts w:cs="TimesNewRoman,Bold"/>
                <w:b/>
                <w:bCs/>
                <w:szCs w:val="20"/>
                <w:lang w:val="en-US" w:bidi="ne-NP"/>
              </w:rPr>
              <w:t>Teaching methods</w:t>
            </w:r>
          </w:p>
        </w:tc>
        <w:tc>
          <w:tcPr>
            <w:tcW w:w="1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rsidP="008D759B">
            <w:pPr>
              <w:pStyle w:val="Standard"/>
              <w:widowControl w:val="0"/>
              <w:spacing w:line="240" w:lineRule="auto"/>
              <w:rPr>
                <w:rFonts w:cs="TimesNewRoman,Bold"/>
                <w:b/>
                <w:bCs/>
                <w:szCs w:val="20"/>
                <w:lang w:bidi="ne-NP"/>
              </w:rPr>
            </w:pPr>
            <w:r>
              <w:rPr>
                <w:rFonts w:cs="TimesNewRoman,Bold"/>
                <w:b/>
                <w:bCs/>
                <w:szCs w:val="20"/>
                <w:lang w:bidi="ne-NP"/>
              </w:rPr>
              <w:t>Observations</w:t>
            </w:r>
          </w:p>
        </w:tc>
      </w:tr>
      <w:tr w:rsidR="008D759B" w:rsidTr="00700CAD">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1</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pPr>
            <w:r>
              <w:rPr>
                <w:szCs w:val="20"/>
                <w:lang w:val="en-US"/>
              </w:rPr>
              <w:t xml:space="preserve">Physiological bases of nutrition. </w:t>
            </w:r>
            <w:r>
              <w:rPr>
                <w:rStyle w:val="shorttext"/>
                <w:szCs w:val="20"/>
                <w:lang w:val="en-US"/>
              </w:rPr>
              <w:t>Main food groups</w:t>
            </w:r>
          </w:p>
        </w:tc>
        <w:tc>
          <w:tcPr>
            <w:tcW w:w="19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rFonts w:cs="TimesNewRoman"/>
                <w:szCs w:val="20"/>
                <w:lang w:bidi="ne-NP"/>
              </w:rPr>
            </w:pPr>
            <w:r>
              <w:rPr>
                <w:rFonts w:cs="TimesNewRoman"/>
                <w:szCs w:val="20"/>
                <w:lang w:bidi="ne-NP"/>
              </w:rPr>
              <w:t>Interactive lecture, discussions,</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D759B">
        <w:trPr>
          <w:trHeight w:val="318"/>
        </w:trPr>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2</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Default"/>
              <w:widowControl w:val="0"/>
            </w:pPr>
            <w:r>
              <w:rPr>
                <w:rStyle w:val="shorttext"/>
                <w:rFonts w:ascii="Trebuchet MS" w:hAnsi="Trebuchet MS"/>
                <w:color w:val="auto"/>
                <w:sz w:val="20"/>
                <w:szCs w:val="20"/>
              </w:rPr>
              <w:t>Healthy human diet</w:t>
            </w:r>
          </w:p>
        </w:tc>
        <w:tc>
          <w:tcPr>
            <w:tcW w:w="19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rFonts w:cs="TimesNewRoman"/>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87515">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3</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Default"/>
              <w:widowControl w:val="0"/>
            </w:pPr>
            <w:r>
              <w:rPr>
                <w:rStyle w:val="shorttext"/>
                <w:rFonts w:ascii="Trebuchet MS" w:hAnsi="Trebuchet MS"/>
                <w:color w:val="auto"/>
                <w:sz w:val="20"/>
                <w:szCs w:val="20"/>
              </w:rPr>
              <w:t xml:space="preserve">Eating disorders. </w:t>
            </w:r>
            <w:r>
              <w:rPr>
                <w:rFonts w:ascii="Trebuchet MS" w:hAnsi="Trebuchet MS"/>
                <w:color w:val="auto"/>
                <w:sz w:val="20"/>
                <w:szCs w:val="20"/>
              </w:rPr>
              <w:t>Stages of development and individualization of diet. Prophylactic diet.</w:t>
            </w:r>
          </w:p>
        </w:tc>
        <w:tc>
          <w:tcPr>
            <w:tcW w:w="19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szCs w:val="20"/>
                <w:lang w:bidi="ne-NP"/>
              </w:rPr>
            </w:pPr>
          </w:p>
          <w:p w:rsidR="008D759B" w:rsidRDefault="008D759B" w:rsidP="008D759B">
            <w:pPr>
              <w:pStyle w:val="Standard"/>
              <w:widowControl w:val="0"/>
              <w:spacing w:line="240" w:lineRule="auto"/>
              <w:rPr>
                <w:szCs w:val="20"/>
                <w:lang w:bidi="ne-NP"/>
              </w:rPr>
            </w:pPr>
            <w:r>
              <w:rPr>
                <w:szCs w:val="20"/>
                <w:lang w:bidi="ne-NP"/>
              </w:rPr>
              <w:t>Case solvings, explanations</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87515">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4</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Default"/>
              <w:widowControl w:val="0"/>
            </w:pPr>
            <w:r>
              <w:rPr>
                <w:rFonts w:ascii="Trebuchet MS" w:hAnsi="Trebuchet MS"/>
                <w:color w:val="auto"/>
                <w:sz w:val="20"/>
                <w:szCs w:val="20"/>
              </w:rPr>
              <w:t xml:space="preserve"> Principles of diet in diabetes mellitus and inborn errors of metabolism.</w:t>
            </w:r>
          </w:p>
        </w:tc>
        <w:tc>
          <w:tcPr>
            <w:tcW w:w="1994" w:type="dxa"/>
            <w:vMerge/>
            <w:tcBorders>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87515">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5</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Default"/>
              <w:widowControl w:val="0"/>
            </w:pPr>
            <w:r>
              <w:rPr>
                <w:rFonts w:ascii="Trebuchet MS" w:hAnsi="Trebuchet MS"/>
                <w:color w:val="auto"/>
                <w:sz w:val="20"/>
                <w:szCs w:val="20"/>
              </w:rPr>
              <w:t xml:space="preserve">Principles of diet in malnutrition, obesity, metabolic syndrome, dyslipidemia, </w:t>
            </w:r>
            <w:proofErr w:type="spellStart"/>
            <w:r>
              <w:rPr>
                <w:rFonts w:ascii="Trebuchet MS" w:hAnsi="Trebuchet MS"/>
                <w:color w:val="auto"/>
                <w:sz w:val="20"/>
                <w:szCs w:val="20"/>
              </w:rPr>
              <w:t>hyperuricemia</w:t>
            </w:r>
            <w:proofErr w:type="spellEnd"/>
            <w:r>
              <w:rPr>
                <w:rFonts w:ascii="Trebuchet MS" w:hAnsi="Trebuchet MS"/>
                <w:color w:val="auto"/>
                <w:sz w:val="20"/>
                <w:szCs w:val="20"/>
              </w:rPr>
              <w:t>.</w:t>
            </w:r>
          </w:p>
        </w:tc>
        <w:tc>
          <w:tcPr>
            <w:tcW w:w="1994" w:type="dxa"/>
            <w:vMerge/>
            <w:tcBorders>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87515">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6</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Default"/>
              <w:widowControl w:val="0"/>
            </w:pPr>
            <w:r>
              <w:rPr>
                <w:rFonts w:ascii="Trebuchet MS" w:eastAsia="Trebuchet MS" w:hAnsi="Trebuchet MS"/>
                <w:bCs/>
                <w:color w:val="auto"/>
                <w:sz w:val="20"/>
                <w:szCs w:val="20"/>
              </w:rPr>
              <w:t xml:space="preserve"> </w:t>
            </w:r>
            <w:r>
              <w:rPr>
                <w:rFonts w:ascii="Trebuchet MS" w:hAnsi="Trebuchet MS"/>
                <w:sz w:val="20"/>
                <w:szCs w:val="20"/>
              </w:rPr>
              <w:t>Principles of diet in cardiovascular and renal diseases.</w:t>
            </w:r>
          </w:p>
        </w:tc>
        <w:tc>
          <w:tcPr>
            <w:tcW w:w="1994" w:type="dxa"/>
            <w:vMerge/>
            <w:tcBorders>
              <w:left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r w:rsidR="008D759B" w:rsidTr="00887515">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Standard"/>
              <w:widowControl w:val="0"/>
              <w:spacing w:line="240" w:lineRule="auto"/>
              <w:rPr>
                <w:rFonts w:cs="TimesNewRoman,Bold"/>
                <w:bCs/>
                <w:szCs w:val="20"/>
                <w:lang w:bidi="ne-NP"/>
              </w:rPr>
            </w:pPr>
            <w:r>
              <w:rPr>
                <w:rFonts w:cs="TimesNewRoman,Bold"/>
                <w:bCs/>
                <w:szCs w:val="20"/>
                <w:lang w:bidi="ne-NP"/>
              </w:rPr>
              <w:t>7</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759B" w:rsidRDefault="008D759B" w:rsidP="008D759B">
            <w:pPr>
              <w:pStyle w:val="Default"/>
              <w:widowControl w:val="0"/>
            </w:pPr>
            <w:r>
              <w:rPr>
                <w:rFonts w:ascii="Trebuchet MS" w:hAnsi="Trebuchet MS"/>
                <w:sz w:val="20"/>
                <w:szCs w:val="20"/>
              </w:rPr>
              <w:t xml:space="preserve"> Principles of diet in digestive and neurological diseases.</w:t>
            </w:r>
          </w:p>
        </w:tc>
        <w:tc>
          <w:tcPr>
            <w:tcW w:w="19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szCs w:val="20"/>
                <w:lang w:bidi="ne-NP"/>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59B" w:rsidRDefault="008D759B" w:rsidP="008D759B">
            <w:pPr>
              <w:pStyle w:val="Standard"/>
              <w:widowControl w:val="0"/>
              <w:spacing w:line="240" w:lineRule="auto"/>
              <w:rPr>
                <w:bCs/>
                <w:szCs w:val="20"/>
                <w:lang w:val="en-US"/>
              </w:rPr>
            </w:pPr>
            <w:r>
              <w:rPr>
                <w:bCs/>
                <w:szCs w:val="20"/>
                <w:lang w:val="en-US"/>
              </w:rPr>
              <w:t>2 hours</w:t>
            </w:r>
          </w:p>
        </w:tc>
      </w:tr>
    </w:tbl>
    <w:p w:rsidR="005403E9" w:rsidRDefault="005403E9">
      <w:pPr>
        <w:pStyle w:val="Standard"/>
        <w:rPr>
          <w:rFonts w:cs="TimesNewRoman,Bold"/>
          <w:b/>
          <w:bCs/>
          <w:szCs w:val="20"/>
          <w:lang w:bidi="ne-NP"/>
        </w:rPr>
      </w:pPr>
    </w:p>
    <w:tbl>
      <w:tblPr>
        <w:tblW w:w="10044" w:type="dxa"/>
        <w:tblInd w:w="-108" w:type="dxa"/>
        <w:tblLayout w:type="fixed"/>
        <w:tblCellMar>
          <w:left w:w="10" w:type="dxa"/>
          <w:right w:w="10" w:type="dxa"/>
        </w:tblCellMar>
        <w:tblLook w:val="04A0" w:firstRow="1" w:lastRow="0" w:firstColumn="1" w:lastColumn="0" w:noHBand="0" w:noVBand="1"/>
      </w:tblPr>
      <w:tblGrid>
        <w:gridCol w:w="10044"/>
      </w:tblGrid>
      <w:tr w:rsidR="005403E9">
        <w:tc>
          <w:tcPr>
            <w:tcW w:w="10044" w:type="dxa"/>
            <w:shd w:val="clear" w:color="auto" w:fill="F2F2F2"/>
            <w:tcMar>
              <w:top w:w="0" w:type="dxa"/>
              <w:left w:w="108" w:type="dxa"/>
              <w:bottom w:w="0" w:type="dxa"/>
              <w:right w:w="108" w:type="dxa"/>
            </w:tcMar>
          </w:tcPr>
          <w:p w:rsidR="005403E9" w:rsidRPr="00EE7692" w:rsidRDefault="00740B89">
            <w:pPr>
              <w:pStyle w:val="Standard"/>
              <w:rPr>
                <w:rFonts w:cs="TimesNewRoman,Bold"/>
                <w:b/>
                <w:bCs/>
                <w:szCs w:val="20"/>
                <w:lang w:bidi="ne-NP"/>
              </w:rPr>
            </w:pPr>
            <w:r>
              <w:rPr>
                <w:rFonts w:cs="TimesNewRoman,Bold"/>
                <w:b/>
                <w:bCs/>
                <w:szCs w:val="20"/>
                <w:lang w:bidi="ne-NP"/>
              </w:rPr>
              <w:t>8.3. Bibliography:</w:t>
            </w:r>
          </w:p>
        </w:tc>
      </w:tr>
      <w:tr w:rsidR="005403E9" w:rsidRPr="008D759B">
        <w:tc>
          <w:tcPr>
            <w:tcW w:w="10044" w:type="dxa"/>
            <w:tcMar>
              <w:top w:w="0" w:type="dxa"/>
              <w:left w:w="108" w:type="dxa"/>
              <w:bottom w:w="0" w:type="dxa"/>
              <w:right w:w="108" w:type="dxa"/>
            </w:tcMar>
          </w:tcPr>
          <w:p w:rsidR="005403E9" w:rsidRPr="008D759B" w:rsidRDefault="00740B89" w:rsidP="008D759B">
            <w:pPr>
              <w:pStyle w:val="Standard"/>
              <w:spacing w:line="240" w:lineRule="auto"/>
              <w:rPr>
                <w:rFonts w:cs="TimesNewRoman,Bold"/>
                <w:b/>
                <w:bCs/>
                <w:i/>
                <w:szCs w:val="20"/>
                <w:lang w:bidi="ne-NP"/>
              </w:rPr>
            </w:pPr>
            <w:r w:rsidRPr="008D759B">
              <w:rPr>
                <w:rFonts w:cs="TimesNewRoman,Bold"/>
                <w:b/>
                <w:bCs/>
                <w:i/>
                <w:szCs w:val="20"/>
                <w:lang w:bidi="ne-NP"/>
              </w:rPr>
              <w:lastRenderedPageBreak/>
              <w:t>Mandatory:</w:t>
            </w:r>
          </w:p>
        </w:tc>
      </w:tr>
      <w:tr w:rsidR="005403E9" w:rsidRPr="008D759B">
        <w:tc>
          <w:tcPr>
            <w:tcW w:w="10044" w:type="dxa"/>
            <w:tcMar>
              <w:top w:w="0" w:type="dxa"/>
              <w:left w:w="108" w:type="dxa"/>
              <w:bottom w:w="0" w:type="dxa"/>
              <w:right w:w="108" w:type="dxa"/>
            </w:tcMar>
          </w:tcPr>
          <w:p w:rsidR="005403E9" w:rsidRPr="008D759B" w:rsidRDefault="00740B89" w:rsidP="008D759B">
            <w:pPr>
              <w:pStyle w:val="ListParagraph"/>
              <w:widowControl w:val="0"/>
              <w:spacing w:line="240" w:lineRule="auto"/>
              <w:ind w:left="0"/>
            </w:pPr>
            <w:r w:rsidRPr="008D759B">
              <w:rPr>
                <w:bCs/>
                <w:szCs w:val="20"/>
                <w:lang w:val="en-US"/>
              </w:rPr>
              <w:t>1. Courses on E-learning platform</w:t>
            </w:r>
          </w:p>
          <w:p w:rsidR="005403E9" w:rsidRPr="008D759B" w:rsidRDefault="00740B89" w:rsidP="008D759B">
            <w:pPr>
              <w:pStyle w:val="ListParagraph"/>
              <w:widowControl w:val="0"/>
              <w:spacing w:line="240" w:lineRule="auto"/>
              <w:ind w:left="0"/>
              <w:jc w:val="both"/>
            </w:pPr>
            <w:r w:rsidRPr="008D759B">
              <w:rPr>
                <w:rFonts w:eastAsia="Times New Roman"/>
                <w:szCs w:val="20"/>
                <w:lang w:val="en-US"/>
              </w:rPr>
              <w:t xml:space="preserve">2. </w:t>
            </w:r>
            <w:proofErr w:type="spellStart"/>
            <w:r w:rsidRPr="008D759B">
              <w:rPr>
                <w:rFonts w:eastAsia="Times New Roman"/>
                <w:szCs w:val="20"/>
                <w:lang w:val="en-US"/>
              </w:rPr>
              <w:t>Ingrith</w:t>
            </w:r>
            <w:proofErr w:type="spellEnd"/>
            <w:r w:rsidRPr="008D759B">
              <w:rPr>
                <w:rFonts w:eastAsia="Times New Roman"/>
                <w:szCs w:val="20"/>
                <w:lang w:val="en-US"/>
              </w:rPr>
              <w:t xml:space="preserve"> </w:t>
            </w:r>
            <w:proofErr w:type="spellStart"/>
            <w:r w:rsidRPr="008D759B">
              <w:rPr>
                <w:rFonts w:eastAsia="Times New Roman"/>
                <w:szCs w:val="20"/>
                <w:lang w:val="en-US"/>
              </w:rPr>
              <w:t>Miron</w:t>
            </w:r>
            <w:proofErr w:type="spellEnd"/>
            <w:r w:rsidRPr="008D759B">
              <w:rPr>
                <w:rFonts w:eastAsia="Times New Roman"/>
                <w:szCs w:val="20"/>
                <w:lang w:val="en-US"/>
              </w:rPr>
              <w:t xml:space="preserve"> (editor-in-chief). Pediatrics, “Gr. T. </w:t>
            </w:r>
            <w:proofErr w:type="spellStart"/>
            <w:r w:rsidRPr="008D759B">
              <w:rPr>
                <w:rFonts w:eastAsia="Times New Roman"/>
                <w:szCs w:val="20"/>
                <w:lang w:val="en-US"/>
              </w:rPr>
              <w:t>Popa</w:t>
            </w:r>
            <w:proofErr w:type="spellEnd"/>
            <w:r w:rsidRPr="008D759B">
              <w:rPr>
                <w:rFonts w:eastAsia="Times New Roman"/>
                <w:szCs w:val="20"/>
                <w:lang w:val="en-US"/>
              </w:rPr>
              <w:t>” UMF Iasi Ed. 2016.</w:t>
            </w:r>
          </w:p>
        </w:tc>
      </w:tr>
      <w:tr w:rsidR="005403E9" w:rsidRPr="008D759B">
        <w:tc>
          <w:tcPr>
            <w:tcW w:w="10044" w:type="dxa"/>
            <w:tcMar>
              <w:top w:w="0" w:type="dxa"/>
              <w:left w:w="108" w:type="dxa"/>
              <w:bottom w:w="0" w:type="dxa"/>
              <w:right w:w="108" w:type="dxa"/>
            </w:tcMar>
          </w:tcPr>
          <w:p w:rsidR="005403E9" w:rsidRPr="008D759B" w:rsidRDefault="00740B89" w:rsidP="008D759B">
            <w:pPr>
              <w:pStyle w:val="Standard"/>
              <w:spacing w:line="240" w:lineRule="auto"/>
              <w:rPr>
                <w:rFonts w:cs="TimesNewRoman,Bold"/>
              </w:rPr>
            </w:pPr>
            <w:r w:rsidRPr="008D759B">
              <w:rPr>
                <w:rFonts w:cs="TimesNewRoman,Bold"/>
              </w:rPr>
              <w:t>3. Andreea Gherasim, Otilia Nita, Alina Onofriescu. Practical Guide of Nutrition and Dietetics, "Gr. T. Popa" UMF Iasi Ed.2017</w:t>
            </w:r>
          </w:p>
          <w:p w:rsidR="00D6716C" w:rsidRPr="008D759B" w:rsidRDefault="00D6716C" w:rsidP="008D759B">
            <w:pPr>
              <w:pStyle w:val="Standard"/>
              <w:spacing w:line="240" w:lineRule="auto"/>
              <w:rPr>
                <w:rFonts w:cs="TimesNewRoman,Bold"/>
              </w:rPr>
            </w:pPr>
            <w:r w:rsidRPr="008D759B">
              <w:rPr>
                <w:rFonts w:eastAsia="Times New Roman"/>
                <w:color w:val="000000"/>
              </w:rPr>
              <w:t>4. Handbook of Nutrition and Dietetics, Bogdan Mircea Mihai, Cristina Mihaela Lăcătuşu, Gina Eosefina Botnariu, Editura Gr. T. Popa, UMF Iași 2017</w:t>
            </w:r>
          </w:p>
        </w:tc>
      </w:tr>
    </w:tbl>
    <w:p w:rsidR="005403E9" w:rsidRPr="008D759B" w:rsidRDefault="005403E9" w:rsidP="008D759B">
      <w:pPr>
        <w:pStyle w:val="Standard"/>
        <w:spacing w:line="240" w:lineRule="auto"/>
        <w:jc w:val="both"/>
        <w:rPr>
          <w:b/>
          <w:bCs/>
          <w:i/>
          <w:color w:val="FF0000"/>
          <w:szCs w:val="20"/>
          <w:lang w:val="it-IT"/>
        </w:rPr>
      </w:pPr>
    </w:p>
    <w:tbl>
      <w:tblPr>
        <w:tblW w:w="10044" w:type="dxa"/>
        <w:tblInd w:w="-108" w:type="dxa"/>
        <w:tblLayout w:type="fixed"/>
        <w:tblCellMar>
          <w:left w:w="10" w:type="dxa"/>
          <w:right w:w="10" w:type="dxa"/>
        </w:tblCellMar>
        <w:tblLook w:val="04A0" w:firstRow="1" w:lastRow="0" w:firstColumn="1" w:lastColumn="0" w:noHBand="0" w:noVBand="1"/>
      </w:tblPr>
      <w:tblGrid>
        <w:gridCol w:w="10044"/>
      </w:tblGrid>
      <w:tr w:rsidR="005403E9" w:rsidRPr="008D759B">
        <w:tc>
          <w:tcPr>
            <w:tcW w:w="10044" w:type="dxa"/>
            <w:tcMar>
              <w:top w:w="0" w:type="dxa"/>
              <w:left w:w="108" w:type="dxa"/>
              <w:bottom w:w="0" w:type="dxa"/>
              <w:right w:w="108" w:type="dxa"/>
            </w:tcMar>
          </w:tcPr>
          <w:p w:rsidR="005403E9" w:rsidRPr="008D759B" w:rsidRDefault="00740B89" w:rsidP="008D759B">
            <w:pPr>
              <w:pStyle w:val="Standard"/>
              <w:spacing w:line="240" w:lineRule="auto"/>
              <w:jc w:val="both"/>
              <w:rPr>
                <w:b/>
                <w:bCs/>
                <w:i/>
                <w:szCs w:val="20"/>
                <w:lang w:val="it-IT"/>
              </w:rPr>
            </w:pPr>
            <w:r w:rsidRPr="008D759B">
              <w:rPr>
                <w:b/>
                <w:bCs/>
                <w:i/>
                <w:szCs w:val="20"/>
                <w:lang w:val="it-IT"/>
              </w:rPr>
              <w:t>Elective:</w:t>
            </w:r>
          </w:p>
        </w:tc>
      </w:tr>
      <w:tr w:rsidR="005403E9" w:rsidRPr="008D759B">
        <w:tc>
          <w:tcPr>
            <w:tcW w:w="10044" w:type="dxa"/>
            <w:tcMar>
              <w:top w:w="0" w:type="dxa"/>
              <w:left w:w="108" w:type="dxa"/>
              <w:bottom w:w="0" w:type="dxa"/>
              <w:right w:w="108" w:type="dxa"/>
            </w:tcMar>
          </w:tcPr>
          <w:p w:rsidR="008D759B" w:rsidRPr="008D759B" w:rsidRDefault="00740B89" w:rsidP="008D759B">
            <w:pPr>
              <w:pStyle w:val="ListParagraph"/>
              <w:numPr>
                <w:ilvl w:val="0"/>
                <w:numId w:val="10"/>
              </w:numPr>
              <w:spacing w:line="240" w:lineRule="auto"/>
              <w:rPr>
                <w:rFonts w:eastAsia="Times New Roman"/>
                <w:szCs w:val="20"/>
                <w:lang w:val="de-DE"/>
              </w:rPr>
            </w:pPr>
            <w:r w:rsidRPr="008D759B">
              <w:rPr>
                <w:rFonts w:eastAsia="Times New Roman"/>
                <w:szCs w:val="20"/>
                <w:lang w:val="de-DE"/>
              </w:rPr>
              <w:t>U.S. Department of Health and Human Services and U.S. Department of Agriculture. Dietary Guidelines for Americans 2020-2025. 9th Ed. 2020.</w:t>
            </w:r>
          </w:p>
          <w:p w:rsidR="008D759B" w:rsidRPr="008D759B" w:rsidRDefault="00740B89" w:rsidP="008D759B">
            <w:pPr>
              <w:pStyle w:val="ListParagraph"/>
              <w:numPr>
                <w:ilvl w:val="0"/>
                <w:numId w:val="10"/>
              </w:numPr>
              <w:spacing w:line="240" w:lineRule="auto"/>
              <w:rPr>
                <w:rFonts w:eastAsia="Times New Roman"/>
                <w:szCs w:val="20"/>
                <w:lang w:val="de-DE"/>
              </w:rPr>
            </w:pPr>
            <w:r w:rsidRPr="008D759B">
              <w:rPr>
                <w:rFonts w:eastAsia="Times New Roman"/>
                <w:szCs w:val="20"/>
                <w:lang w:val="de-DE"/>
              </w:rPr>
              <w:t xml:space="preserve">Robert M. Kliegman et al.  </w:t>
            </w:r>
            <w:r w:rsidRPr="008D759B">
              <w:rPr>
                <w:rFonts w:eastAsia="Times New Roman"/>
                <w:szCs w:val="20"/>
                <w:lang w:val="en-US"/>
              </w:rPr>
              <w:t>Nelson Textbook of Pediatrics (20th edition). Elsevier Ed. 2016</w:t>
            </w:r>
          </w:p>
          <w:p w:rsidR="008D759B" w:rsidRPr="008D759B" w:rsidRDefault="00740B89" w:rsidP="008D759B">
            <w:pPr>
              <w:pStyle w:val="ListParagraph"/>
              <w:numPr>
                <w:ilvl w:val="0"/>
                <w:numId w:val="10"/>
              </w:numPr>
              <w:spacing w:line="240" w:lineRule="auto"/>
              <w:rPr>
                <w:rFonts w:eastAsia="Times New Roman"/>
                <w:szCs w:val="20"/>
                <w:lang w:val="de-DE"/>
              </w:rPr>
            </w:pPr>
            <w:r w:rsidRPr="008D759B">
              <w:rPr>
                <w:rFonts w:eastAsia="Times New Roman"/>
                <w:szCs w:val="20"/>
                <w:lang w:val="de-DE"/>
              </w:rPr>
              <w:t xml:space="preserve">Bernadette P. Marriott, Diane F. Birt, Virginia A. Stallings, Allison A. Yates </w:t>
            </w:r>
            <w:r w:rsidRPr="008D759B">
              <w:rPr>
                <w:rFonts w:eastAsia="Times New Roman"/>
                <w:szCs w:val="20"/>
                <w:lang w:val="en-US"/>
              </w:rPr>
              <w:t>(editors).</w:t>
            </w:r>
            <w:r w:rsidRPr="008D759B">
              <w:rPr>
                <w:rFonts w:eastAsia="Times New Roman"/>
                <w:szCs w:val="20"/>
                <w:lang w:val="de-DE"/>
              </w:rPr>
              <w:t xml:space="preserve"> Present knowledge in nutrition. Basic nutrition and metabolism. Vol. 1 and 2. </w:t>
            </w:r>
            <w:r w:rsidRPr="008D759B">
              <w:rPr>
                <w:rFonts w:eastAsia="Times New Roman"/>
                <w:szCs w:val="20"/>
                <w:lang w:val="en-US"/>
              </w:rPr>
              <w:t xml:space="preserve">(11th edition). </w:t>
            </w:r>
            <w:r w:rsidRPr="008D759B">
              <w:rPr>
                <w:rFonts w:cs="AdvOT50bc4fce"/>
                <w:szCs w:val="20"/>
                <w:lang w:val="en-US"/>
              </w:rPr>
              <w:t xml:space="preserve">Academic Press </w:t>
            </w:r>
            <w:r w:rsidRPr="008D759B">
              <w:rPr>
                <w:rFonts w:eastAsia="Times New Roman"/>
                <w:szCs w:val="20"/>
                <w:lang w:val="en-US"/>
              </w:rPr>
              <w:t>Ed. 2020</w:t>
            </w:r>
          </w:p>
          <w:p w:rsidR="005403E9" w:rsidRPr="008D759B" w:rsidRDefault="00740B89" w:rsidP="008D759B">
            <w:pPr>
              <w:pStyle w:val="ListParagraph"/>
              <w:numPr>
                <w:ilvl w:val="0"/>
                <w:numId w:val="10"/>
              </w:numPr>
              <w:spacing w:line="240" w:lineRule="auto"/>
              <w:rPr>
                <w:rFonts w:eastAsia="Times New Roman"/>
                <w:szCs w:val="20"/>
                <w:lang w:val="de-DE"/>
              </w:rPr>
            </w:pPr>
            <w:r w:rsidRPr="008D759B">
              <w:rPr>
                <w:rFonts w:eastAsia="Times New Roman"/>
                <w:szCs w:val="20"/>
                <w:lang w:val="en-US"/>
              </w:rPr>
              <w:t xml:space="preserve">Paul </w:t>
            </w:r>
            <w:proofErr w:type="spellStart"/>
            <w:r w:rsidRPr="008D759B">
              <w:rPr>
                <w:rFonts w:eastAsia="Times New Roman"/>
                <w:szCs w:val="20"/>
                <w:lang w:val="en-US"/>
              </w:rPr>
              <w:t>Insel</w:t>
            </w:r>
            <w:proofErr w:type="spellEnd"/>
            <w:r w:rsidRPr="008D759B">
              <w:rPr>
                <w:rFonts w:eastAsia="Times New Roman"/>
                <w:szCs w:val="20"/>
                <w:lang w:val="en-US"/>
              </w:rPr>
              <w:t>, Don Ross, Kimberley McMahon, Melissa Bernstein. Discovering nutrition. (6th edition). Jones &amp; Bartlett Learning Ed. 2019</w:t>
            </w:r>
          </w:p>
        </w:tc>
      </w:tr>
      <w:tr w:rsidR="005403E9" w:rsidTr="008D759B">
        <w:trPr>
          <w:trHeight w:val="80"/>
        </w:trPr>
        <w:tc>
          <w:tcPr>
            <w:tcW w:w="10044" w:type="dxa"/>
            <w:tcMar>
              <w:top w:w="0" w:type="dxa"/>
              <w:left w:w="108" w:type="dxa"/>
              <w:bottom w:w="0" w:type="dxa"/>
              <w:right w:w="108" w:type="dxa"/>
            </w:tcMar>
          </w:tcPr>
          <w:p w:rsidR="005403E9" w:rsidRDefault="005403E9">
            <w:pPr>
              <w:pStyle w:val="Standard"/>
              <w:jc w:val="both"/>
              <w:rPr>
                <w:b/>
                <w:bCs/>
                <w:i/>
              </w:rPr>
            </w:pPr>
          </w:p>
        </w:tc>
      </w:tr>
    </w:tbl>
    <w:p w:rsidR="005403E9" w:rsidRDefault="00BE651A">
      <w:pPr>
        <w:pStyle w:val="Standard"/>
        <w:spacing w:line="240" w:lineRule="auto"/>
      </w:pPr>
      <w:r>
        <w:fldChar w:fldCharType="begin"/>
      </w:r>
      <w:r>
        <w:instrText xml:space="preserve"> FILLIN "" </w:instrText>
      </w:r>
      <w:r>
        <w:fldChar w:fldCharType="separate"/>
      </w:r>
      <w:r w:rsidR="00740B89">
        <w:t xml:space="preserve">9. Correlation of the discipline contents with the expectations of the epistemic community, professional associations, and representative employers from the afferent program field </w:t>
      </w:r>
      <w:r>
        <w:fldChar w:fldCharType="end"/>
      </w:r>
    </w:p>
    <w:tbl>
      <w:tblPr>
        <w:tblW w:w="10137" w:type="dxa"/>
        <w:jc w:val="center"/>
        <w:tblLayout w:type="fixed"/>
        <w:tblCellMar>
          <w:left w:w="10" w:type="dxa"/>
          <w:right w:w="10" w:type="dxa"/>
        </w:tblCellMar>
        <w:tblLook w:val="04A0" w:firstRow="1" w:lastRow="0" w:firstColumn="1" w:lastColumn="0" w:noHBand="0" w:noVBand="1"/>
      </w:tblPr>
      <w:tblGrid>
        <w:gridCol w:w="10137"/>
      </w:tblGrid>
      <w:tr w:rsidR="005403E9">
        <w:trPr>
          <w:jc w:val="center"/>
        </w:trPr>
        <w:tc>
          <w:tcPr>
            <w:tcW w:w="10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rsidP="008D759B">
            <w:pPr>
              <w:pStyle w:val="Standard"/>
              <w:widowControl w:val="0"/>
              <w:spacing w:line="240" w:lineRule="auto"/>
              <w:jc w:val="both"/>
              <w:rPr>
                <w:rFonts w:cs="TimesNewRoman,Bold"/>
                <w:bCs/>
                <w:szCs w:val="20"/>
                <w:lang w:val="en-US" w:bidi="ne-NP"/>
              </w:rPr>
            </w:pPr>
            <w:r>
              <w:rPr>
                <w:rFonts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rsidR="005403E9" w:rsidRDefault="005403E9">
      <w:pPr>
        <w:pStyle w:val="Standard"/>
        <w:rPr>
          <w:rFonts w:cs="TimesNewRoman,Bold"/>
          <w:b/>
          <w:bCs/>
          <w:szCs w:val="20"/>
          <w:lang w:bidi="ne-NP"/>
        </w:rPr>
      </w:pPr>
    </w:p>
    <w:p w:rsidR="005403E9" w:rsidRDefault="00BE651A">
      <w:pPr>
        <w:pStyle w:val="Standard"/>
        <w:spacing w:line="240" w:lineRule="auto"/>
      </w:pPr>
      <w:r>
        <w:fldChar w:fldCharType="begin"/>
      </w:r>
      <w:r>
        <w:instrText xml:space="preserve"> FILLIN "" </w:instrText>
      </w:r>
      <w:r>
        <w:fldChar w:fldCharType="separate"/>
      </w:r>
      <w:r w:rsidR="00740B89">
        <w:t xml:space="preserve">10. Evaluation </w:t>
      </w:r>
      <w:r>
        <w:fldChar w:fldCharType="end"/>
      </w:r>
    </w:p>
    <w:tbl>
      <w:tblPr>
        <w:tblW w:w="10042" w:type="dxa"/>
        <w:jc w:val="center"/>
        <w:tblLayout w:type="fixed"/>
        <w:tblCellMar>
          <w:left w:w="10" w:type="dxa"/>
          <w:right w:w="10" w:type="dxa"/>
        </w:tblCellMar>
        <w:tblLook w:val="04A0" w:firstRow="1" w:lastRow="0" w:firstColumn="1" w:lastColumn="0" w:noHBand="0" w:noVBand="1"/>
      </w:tblPr>
      <w:tblGrid>
        <w:gridCol w:w="1861"/>
        <w:gridCol w:w="4502"/>
        <w:gridCol w:w="2339"/>
        <w:gridCol w:w="1340"/>
      </w:tblGrid>
      <w:tr w:rsidR="005403E9" w:rsidTr="008D759B">
        <w:trPr>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rsidP="008D759B">
            <w:pPr>
              <w:pStyle w:val="Standard"/>
              <w:widowControl w:val="0"/>
              <w:spacing w:line="240" w:lineRule="auto"/>
              <w:jc w:val="center"/>
              <w:rPr>
                <w:rFonts w:cs="TimesNewRoman,Bold"/>
                <w:szCs w:val="20"/>
                <w:lang w:bidi="ne-NP"/>
              </w:rPr>
            </w:pPr>
            <w:r>
              <w:rPr>
                <w:rFonts w:cs="TimesNewRoman,Bold"/>
                <w:szCs w:val="20"/>
                <w:lang w:bidi="ne-NP"/>
              </w:rPr>
              <w:t>Type of activity</w:t>
            </w:r>
          </w:p>
        </w:tc>
        <w:tc>
          <w:tcPr>
            <w:tcW w:w="45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rsidP="008D759B">
            <w:pPr>
              <w:pStyle w:val="Standard"/>
              <w:widowControl w:val="0"/>
              <w:spacing w:line="240" w:lineRule="auto"/>
              <w:jc w:val="center"/>
              <w:rPr>
                <w:rFonts w:cs="TimesNewRoman,Bold"/>
                <w:szCs w:val="20"/>
                <w:lang w:bidi="ne-NP"/>
              </w:rPr>
            </w:pPr>
            <w:r>
              <w:rPr>
                <w:rFonts w:cs="TimesNewRoman,Bold"/>
                <w:szCs w:val="20"/>
                <w:lang w:bidi="ne-NP"/>
              </w:rPr>
              <w:t>Assessment criteria</w:t>
            </w:r>
          </w:p>
        </w:tc>
        <w:tc>
          <w:tcPr>
            <w:tcW w:w="23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403E9" w:rsidRDefault="00740B89" w:rsidP="008D759B">
            <w:pPr>
              <w:pStyle w:val="Standard"/>
              <w:widowControl w:val="0"/>
              <w:spacing w:line="240" w:lineRule="auto"/>
              <w:jc w:val="center"/>
              <w:rPr>
                <w:rFonts w:cs="TimesNewRoman,Bold"/>
                <w:szCs w:val="20"/>
                <w:lang w:bidi="ne-NP"/>
              </w:rPr>
            </w:pPr>
            <w:r>
              <w:rPr>
                <w:rFonts w:cs="TimesNewRoman,Bold"/>
                <w:szCs w:val="20"/>
                <w:lang w:bidi="ne-NP"/>
              </w:rPr>
              <w:t>Evaluation methods</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03E9" w:rsidRDefault="00740B89" w:rsidP="008D759B">
            <w:pPr>
              <w:pStyle w:val="Standard"/>
              <w:widowControl w:val="0"/>
              <w:spacing w:line="240" w:lineRule="auto"/>
              <w:jc w:val="center"/>
              <w:rPr>
                <w:rFonts w:cs="TimesNewRoman"/>
                <w:szCs w:val="20"/>
                <w:lang w:bidi="ne-NP"/>
              </w:rPr>
            </w:pPr>
            <w:r>
              <w:rPr>
                <w:rFonts w:cs="TimesNewRoman"/>
                <w:szCs w:val="20"/>
                <w:lang w:bidi="ne-NP"/>
              </w:rPr>
              <w:t>Contribution to the final grade</w:t>
            </w:r>
          </w:p>
        </w:tc>
      </w:tr>
      <w:tr w:rsidR="005403E9" w:rsidTr="008D759B">
        <w:trPr>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
                <w:szCs w:val="20"/>
                <w:lang w:bidi="ne-NP"/>
              </w:rPr>
            </w:pPr>
            <w:r>
              <w:rPr>
                <w:rFonts w:cs="TimesNewRoman"/>
                <w:szCs w:val="20"/>
                <w:lang w:bidi="ne-NP"/>
              </w:rPr>
              <w:t>Lectures</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Cs/>
                <w:szCs w:val="20"/>
                <w:lang w:bidi="ne-NP"/>
              </w:rPr>
            </w:pPr>
            <w:r>
              <w:rPr>
                <w:rFonts w:cs="TimesNewRoman,Bold"/>
                <w:bCs/>
                <w:szCs w:val="20"/>
                <w:lang w:bidi="ne-NP"/>
              </w:rPr>
              <w:t>Acquiring theoretical notions and presented in the course</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Cs/>
                <w:szCs w:val="20"/>
                <w:lang w:bidi="ne-NP"/>
              </w:rPr>
            </w:pPr>
            <w:r>
              <w:rPr>
                <w:rFonts w:cs="TimesNewRoman,Bold"/>
                <w:bCs/>
                <w:szCs w:val="20"/>
                <w:lang w:bidi="ne-NP"/>
              </w:rPr>
              <w:t>Written exam.</w:t>
            </w:r>
          </w:p>
          <w:p w:rsidR="005403E9" w:rsidRDefault="00740B89" w:rsidP="008D759B">
            <w:pPr>
              <w:pStyle w:val="Standard"/>
              <w:widowControl w:val="0"/>
              <w:spacing w:line="240" w:lineRule="auto"/>
              <w:rPr>
                <w:rFonts w:cs="TimesNewRoman,Bold"/>
                <w:bCs/>
                <w:szCs w:val="20"/>
                <w:lang w:bidi="ne-NP"/>
              </w:rPr>
            </w:pPr>
            <w:r>
              <w:rPr>
                <w:rFonts w:cs="TimesNewRoman,Bold"/>
                <w:bCs/>
                <w:szCs w:val="20"/>
                <w:lang w:bidi="ne-NP"/>
              </w:rPr>
              <w:t>MCQ Examination</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jc w:val="center"/>
              <w:rPr>
                <w:rFonts w:cs="TimesNewRoman,Bold"/>
                <w:szCs w:val="20"/>
                <w:lang w:bidi="ne-NP"/>
              </w:rPr>
            </w:pPr>
            <w:r>
              <w:rPr>
                <w:rFonts w:cs="TimesNewRoman,Bold"/>
                <w:szCs w:val="20"/>
                <w:lang w:bidi="ne-NP"/>
              </w:rPr>
              <w:t>80 %</w:t>
            </w:r>
          </w:p>
        </w:tc>
      </w:tr>
      <w:tr w:rsidR="005403E9" w:rsidTr="008D759B">
        <w:trPr>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
                <w:szCs w:val="20"/>
                <w:lang w:bidi="ne-NP"/>
              </w:rPr>
            </w:pPr>
            <w:r>
              <w:rPr>
                <w:rFonts w:cs="TimesNewRoman"/>
                <w:szCs w:val="20"/>
                <w:lang w:bidi="ne-NP"/>
              </w:rPr>
              <w:t>Practical activities</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Cs/>
                <w:szCs w:val="20"/>
                <w:lang w:bidi="ne-NP"/>
              </w:rPr>
            </w:pPr>
            <w:r>
              <w:rPr>
                <w:rFonts w:cs="TimesNewRoman,Bold"/>
                <w:bCs/>
                <w:szCs w:val="20"/>
                <w:lang w:bidi="ne-NP"/>
              </w:rPr>
              <w:t>Activities carried out in laboratory and conducted quality essays.</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Cs/>
                <w:szCs w:val="20"/>
                <w:lang w:bidi="ne-NP"/>
              </w:rPr>
            </w:pPr>
            <w:r>
              <w:rPr>
                <w:rFonts w:cs="TimesNewRoman,Bold"/>
                <w:bCs/>
                <w:szCs w:val="20"/>
                <w:lang w:bidi="ne-NP"/>
              </w:rPr>
              <w:t>Colloquium practical activity</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jc w:val="center"/>
              <w:rPr>
                <w:rFonts w:cs="TimesNewRoman,Bold"/>
                <w:szCs w:val="20"/>
                <w:lang w:bidi="ne-NP"/>
              </w:rPr>
            </w:pPr>
            <w:r>
              <w:rPr>
                <w:rFonts w:cs="TimesNewRoman,Bold"/>
                <w:szCs w:val="20"/>
                <w:lang w:bidi="ne-NP"/>
              </w:rPr>
              <w:t>Admitted/ Rejected</w:t>
            </w:r>
          </w:p>
        </w:tc>
      </w:tr>
      <w:tr w:rsidR="005403E9" w:rsidTr="008D759B">
        <w:trPr>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Cs/>
                <w:szCs w:val="20"/>
                <w:lang w:bidi="ne-NP"/>
              </w:rPr>
            </w:pPr>
            <w:r>
              <w:rPr>
                <w:rFonts w:cs="TimesNewRoman,Bold"/>
                <w:bCs/>
                <w:szCs w:val="20"/>
                <w:lang w:bidi="ne-NP"/>
              </w:rPr>
              <w:t>Individual study</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Cs/>
                <w:szCs w:val="20"/>
                <w:lang w:bidi="ne-NP"/>
              </w:rPr>
            </w:pPr>
            <w:r>
              <w:rPr>
                <w:rFonts w:cs="TimesNewRoman,Bold"/>
                <w:bCs/>
                <w:szCs w:val="20"/>
                <w:lang w:bidi="ne-NP"/>
              </w:rPr>
              <w:t>Preparation time for seminars / practical classes, study themes, reviews, portfolio and essays.</w:t>
            </w:r>
          </w:p>
          <w:p w:rsidR="005403E9" w:rsidRDefault="00740B89" w:rsidP="00A72463">
            <w:pPr>
              <w:pStyle w:val="Standard"/>
              <w:widowControl w:val="0"/>
              <w:spacing w:line="240" w:lineRule="auto"/>
              <w:rPr>
                <w:rFonts w:cs="TimesNewRoman,Bold"/>
                <w:bCs/>
                <w:szCs w:val="20"/>
                <w:lang w:bidi="ne-NP"/>
              </w:rPr>
            </w:pPr>
            <w:r>
              <w:rPr>
                <w:rFonts w:cs="TimesNewRoman,Bold"/>
                <w:bCs/>
                <w:szCs w:val="20"/>
                <w:lang w:bidi="ne-NP"/>
              </w:rPr>
              <w:t xml:space="preserve">Study </w:t>
            </w:r>
            <w:r w:rsidR="00A72463">
              <w:rPr>
                <w:rFonts w:cs="TimesNewRoman,Bold"/>
                <w:bCs/>
                <w:szCs w:val="20"/>
                <w:lang w:bidi="ne-NP"/>
              </w:rPr>
              <w:t>individual</w:t>
            </w:r>
            <w:r>
              <w:rPr>
                <w:rFonts w:cs="TimesNewRoman,Bold"/>
                <w:bCs/>
                <w:szCs w:val="20"/>
                <w:lang w:bidi="ne-NP"/>
              </w:rPr>
              <w:t xml:space="preserve"> using coursebook materials, bibliography and hand notes, documentation in the library, using specialised platforms via internet and by field work.</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rPr>
                <w:rFonts w:cs="TimesNewRoman,Bold"/>
                <w:bCs/>
                <w:szCs w:val="20"/>
                <w:lang w:bidi="ne-NP"/>
              </w:rPr>
            </w:pPr>
            <w:r>
              <w:rPr>
                <w:rFonts w:cs="TimesNewRoman,Bold"/>
                <w:bCs/>
                <w:szCs w:val="20"/>
                <w:lang w:bidi="ne-NP"/>
              </w:rPr>
              <w:t>Tests during the semester</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3E9" w:rsidRDefault="00740B89" w:rsidP="008D759B">
            <w:pPr>
              <w:pStyle w:val="Standard"/>
              <w:widowControl w:val="0"/>
              <w:spacing w:line="240" w:lineRule="auto"/>
              <w:jc w:val="center"/>
              <w:rPr>
                <w:rFonts w:cs="TimesNewRoman,Bold"/>
                <w:szCs w:val="20"/>
                <w:lang w:bidi="ne-NP"/>
              </w:rPr>
            </w:pPr>
            <w:r>
              <w:rPr>
                <w:rFonts w:cs="TimesNewRoman,Bold"/>
                <w:szCs w:val="20"/>
                <w:lang w:bidi="ne-NP"/>
              </w:rPr>
              <w:t>20 %</w:t>
            </w:r>
          </w:p>
        </w:tc>
      </w:tr>
      <w:tr w:rsidR="005403E9" w:rsidTr="008D759B">
        <w:trPr>
          <w:trHeight w:val="435"/>
          <w:jc w:val="center"/>
        </w:trPr>
        <w:tc>
          <w:tcPr>
            <w:tcW w:w="100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3E9" w:rsidRDefault="00740B89" w:rsidP="008D759B">
            <w:pPr>
              <w:pStyle w:val="Standard"/>
              <w:widowControl w:val="0"/>
              <w:spacing w:line="240" w:lineRule="auto"/>
              <w:rPr>
                <w:rFonts w:cs="TimesNewRoman"/>
                <w:szCs w:val="20"/>
                <w:lang w:bidi="ne-NP"/>
              </w:rPr>
            </w:pPr>
            <w:r>
              <w:rPr>
                <w:rFonts w:cs="TimesNewRoman"/>
                <w:szCs w:val="20"/>
                <w:lang w:bidi="ne-NP"/>
              </w:rPr>
              <w:t>Minimal performance standard:</w:t>
            </w:r>
          </w:p>
          <w:p w:rsidR="005403E9" w:rsidRDefault="00740B89" w:rsidP="008D759B">
            <w:pPr>
              <w:pStyle w:val="ListParagraph"/>
              <w:widowControl w:val="0"/>
              <w:numPr>
                <w:ilvl w:val="0"/>
                <w:numId w:val="9"/>
              </w:numPr>
              <w:spacing w:line="240" w:lineRule="auto"/>
              <w:rPr>
                <w:rFonts w:cs="TimesNewRoman,Bold"/>
                <w:bCs/>
                <w:szCs w:val="20"/>
                <w:lang w:bidi="ne-NP"/>
              </w:rPr>
            </w:pPr>
            <w:r>
              <w:rPr>
                <w:rFonts w:cs="TimesNewRoman,Bold"/>
                <w:bCs/>
                <w:szCs w:val="20"/>
                <w:lang w:bidi="ne-NP"/>
              </w:rPr>
              <w:t>Understanding and applying basic notions of Nutrition and Dietetics</w:t>
            </w:r>
          </w:p>
        </w:tc>
      </w:tr>
    </w:tbl>
    <w:p w:rsidR="005403E9" w:rsidRDefault="00740B89">
      <w:pPr>
        <w:pStyle w:val="Standard"/>
        <w:rPr>
          <w:rFonts w:cs="TimesNewRoman"/>
          <w:szCs w:val="20"/>
          <w:lang w:bidi="ne-NP"/>
        </w:rPr>
      </w:pPr>
      <w:r>
        <w:rPr>
          <w:rFonts w:cs="TimesNewRoman"/>
          <w:szCs w:val="20"/>
          <w:lang w:bidi="ne-NP"/>
        </w:rPr>
        <w:t xml:space="preserve">                    </w:t>
      </w:r>
    </w:p>
    <w:tbl>
      <w:tblPr>
        <w:tblW w:w="10044" w:type="dxa"/>
        <w:tblInd w:w="-108" w:type="dxa"/>
        <w:tblLayout w:type="fixed"/>
        <w:tblCellMar>
          <w:left w:w="10" w:type="dxa"/>
          <w:right w:w="10" w:type="dxa"/>
        </w:tblCellMar>
        <w:tblLook w:val="04A0" w:firstRow="1" w:lastRow="0" w:firstColumn="1" w:lastColumn="0" w:noHBand="0" w:noVBand="1"/>
      </w:tblPr>
      <w:tblGrid>
        <w:gridCol w:w="1997"/>
        <w:gridCol w:w="3870"/>
        <w:gridCol w:w="4177"/>
      </w:tblGrid>
      <w:tr w:rsidR="005403E9">
        <w:tc>
          <w:tcPr>
            <w:tcW w:w="1997" w:type="dxa"/>
            <w:shd w:val="clear" w:color="auto" w:fill="F2F2F2"/>
            <w:tcMar>
              <w:top w:w="0" w:type="dxa"/>
              <w:left w:w="108" w:type="dxa"/>
              <w:bottom w:w="0" w:type="dxa"/>
              <w:right w:w="108" w:type="dxa"/>
            </w:tcMar>
          </w:tcPr>
          <w:p w:rsidR="005403E9" w:rsidRDefault="00740B89">
            <w:pPr>
              <w:pStyle w:val="Standard"/>
              <w:rPr>
                <w:rFonts w:cs="TimesNewRoman"/>
                <w:szCs w:val="20"/>
                <w:lang w:bidi="ne-NP"/>
              </w:rPr>
            </w:pPr>
            <w:r>
              <w:rPr>
                <w:rFonts w:cs="TimesNewRoman"/>
                <w:szCs w:val="20"/>
                <w:lang w:bidi="ne-NP"/>
              </w:rPr>
              <w:t>Date</w:t>
            </w:r>
          </w:p>
        </w:tc>
        <w:tc>
          <w:tcPr>
            <w:tcW w:w="3870" w:type="dxa"/>
            <w:shd w:val="clear" w:color="auto" w:fill="F2F2F2"/>
            <w:tcMar>
              <w:top w:w="0" w:type="dxa"/>
              <w:left w:w="108" w:type="dxa"/>
              <w:bottom w:w="0" w:type="dxa"/>
              <w:right w:w="108" w:type="dxa"/>
            </w:tcMar>
          </w:tcPr>
          <w:p w:rsidR="005403E9" w:rsidRDefault="00740B89">
            <w:pPr>
              <w:pStyle w:val="Standard"/>
              <w:rPr>
                <w:rFonts w:cs="TimesNewRoman"/>
                <w:szCs w:val="20"/>
                <w:lang w:bidi="ne-NP"/>
              </w:rPr>
            </w:pPr>
            <w:r>
              <w:rPr>
                <w:rFonts w:cs="TimesNewRoman"/>
                <w:szCs w:val="20"/>
                <w:lang w:bidi="ne-NP"/>
              </w:rPr>
              <w:t>Holder of course / signature,</w:t>
            </w:r>
          </w:p>
        </w:tc>
        <w:tc>
          <w:tcPr>
            <w:tcW w:w="4177" w:type="dxa"/>
            <w:shd w:val="clear" w:color="auto" w:fill="F2F2F2"/>
            <w:tcMar>
              <w:top w:w="0" w:type="dxa"/>
              <w:left w:w="108" w:type="dxa"/>
              <w:bottom w:w="0" w:type="dxa"/>
              <w:right w:w="108" w:type="dxa"/>
            </w:tcMar>
          </w:tcPr>
          <w:p w:rsidR="005403E9" w:rsidRDefault="00740B89">
            <w:pPr>
              <w:pStyle w:val="Standard"/>
              <w:rPr>
                <w:rFonts w:cs="TimesNewRoman"/>
                <w:szCs w:val="20"/>
                <w:lang w:bidi="ne-NP"/>
              </w:rPr>
            </w:pPr>
            <w:r>
              <w:rPr>
                <w:rFonts w:cs="TimesNewRoman"/>
                <w:szCs w:val="20"/>
                <w:lang w:bidi="ne-NP"/>
              </w:rPr>
              <w:t>Holder of practical activities / signature,</w:t>
            </w:r>
          </w:p>
        </w:tc>
      </w:tr>
      <w:tr w:rsidR="005403E9">
        <w:trPr>
          <w:trHeight w:val="350"/>
        </w:trPr>
        <w:tc>
          <w:tcPr>
            <w:tcW w:w="1997" w:type="dxa"/>
            <w:tcMar>
              <w:top w:w="0" w:type="dxa"/>
              <w:left w:w="108" w:type="dxa"/>
              <w:bottom w:w="0" w:type="dxa"/>
              <w:right w:w="108" w:type="dxa"/>
            </w:tcMar>
          </w:tcPr>
          <w:p w:rsidR="005403E9" w:rsidRDefault="00BB77DB">
            <w:pPr>
              <w:pStyle w:val="Standard"/>
              <w:rPr>
                <w:rFonts w:cs="TimesNewRoman"/>
              </w:rPr>
            </w:pPr>
            <w:r>
              <w:rPr>
                <w:rFonts w:cs="TimesNewRoman"/>
              </w:rPr>
              <w:t>11</w:t>
            </w:r>
            <w:r w:rsidR="00102610">
              <w:rPr>
                <w:rFonts w:cs="TimesNewRoman"/>
              </w:rPr>
              <w:t>.09</w:t>
            </w:r>
            <w:r>
              <w:rPr>
                <w:rFonts w:cs="TimesNewRoman"/>
              </w:rPr>
              <w:t>.2024</w:t>
            </w:r>
          </w:p>
        </w:tc>
        <w:tc>
          <w:tcPr>
            <w:tcW w:w="3870" w:type="dxa"/>
            <w:tcMar>
              <w:top w:w="0" w:type="dxa"/>
              <w:left w:w="108" w:type="dxa"/>
              <w:bottom w:w="0" w:type="dxa"/>
              <w:right w:w="108" w:type="dxa"/>
            </w:tcMar>
          </w:tcPr>
          <w:p w:rsidR="005403E9" w:rsidRDefault="00740B89">
            <w:pPr>
              <w:pStyle w:val="Standard"/>
              <w:rPr>
                <w:rFonts w:cs="TimesNewRoman"/>
              </w:rPr>
            </w:pPr>
            <w:r>
              <w:rPr>
                <w:rFonts w:cs="TimesNewRoman"/>
              </w:rPr>
              <w:t>Lecturer Luminița Confederat, MD, PhD</w:t>
            </w:r>
          </w:p>
          <w:p w:rsidR="005403E9" w:rsidRDefault="005403E9">
            <w:pPr>
              <w:pStyle w:val="Standard"/>
              <w:rPr>
                <w:rFonts w:cs="TimesNewRoman"/>
              </w:rPr>
            </w:pPr>
          </w:p>
          <w:p w:rsidR="005403E9" w:rsidRDefault="005403E9">
            <w:pPr>
              <w:pStyle w:val="Standard"/>
              <w:rPr>
                <w:rFonts w:cs="TimesNewRoman"/>
              </w:rPr>
            </w:pPr>
          </w:p>
        </w:tc>
        <w:tc>
          <w:tcPr>
            <w:tcW w:w="4177" w:type="dxa"/>
            <w:tcMar>
              <w:top w:w="0" w:type="dxa"/>
              <w:left w:w="108" w:type="dxa"/>
              <w:bottom w:w="0" w:type="dxa"/>
              <w:right w:w="108" w:type="dxa"/>
            </w:tcMar>
          </w:tcPr>
          <w:p w:rsidR="005403E9" w:rsidRDefault="00740B89">
            <w:pPr>
              <w:pStyle w:val="Standard"/>
              <w:rPr>
                <w:rFonts w:cs="TimesNewRoman"/>
              </w:rPr>
            </w:pPr>
            <w:r>
              <w:rPr>
                <w:rFonts w:cs="TimesNewRoman"/>
              </w:rPr>
              <w:t>Lecturer Luminița Confederat, MD, PhD</w:t>
            </w:r>
          </w:p>
          <w:p w:rsidR="005403E9" w:rsidRDefault="005403E9">
            <w:pPr>
              <w:pStyle w:val="Standard"/>
              <w:rPr>
                <w:rFonts w:cs="TimesNewRoman"/>
              </w:rPr>
            </w:pPr>
          </w:p>
        </w:tc>
      </w:tr>
    </w:tbl>
    <w:p w:rsidR="005403E9" w:rsidRDefault="005403E9">
      <w:pPr>
        <w:pStyle w:val="Standard"/>
        <w:rPr>
          <w:rFonts w:cs="TimesNewRoman"/>
          <w:szCs w:val="20"/>
          <w:lang w:bidi="ne-NP"/>
        </w:rPr>
      </w:pPr>
    </w:p>
    <w:tbl>
      <w:tblPr>
        <w:tblW w:w="10044" w:type="dxa"/>
        <w:tblInd w:w="-108" w:type="dxa"/>
        <w:tblLayout w:type="fixed"/>
        <w:tblCellMar>
          <w:left w:w="10" w:type="dxa"/>
          <w:right w:w="10" w:type="dxa"/>
        </w:tblCellMar>
        <w:tblLook w:val="04A0" w:firstRow="1" w:lastRow="0" w:firstColumn="1" w:lastColumn="0" w:noHBand="0" w:noVBand="1"/>
      </w:tblPr>
      <w:tblGrid>
        <w:gridCol w:w="2376"/>
        <w:gridCol w:w="3119"/>
        <w:gridCol w:w="4549"/>
      </w:tblGrid>
      <w:tr w:rsidR="005403E9">
        <w:tc>
          <w:tcPr>
            <w:tcW w:w="10044" w:type="dxa"/>
            <w:gridSpan w:val="3"/>
            <w:shd w:val="clear" w:color="auto" w:fill="F2F2F2"/>
            <w:tcMar>
              <w:top w:w="0" w:type="dxa"/>
              <w:left w:w="108" w:type="dxa"/>
              <w:bottom w:w="0" w:type="dxa"/>
              <w:right w:w="108" w:type="dxa"/>
            </w:tcMar>
          </w:tcPr>
          <w:p w:rsidR="005403E9" w:rsidRDefault="00740B89">
            <w:pPr>
              <w:pStyle w:val="Standard"/>
              <w:rPr>
                <w:rFonts w:cs="TimesNewRoman"/>
                <w:szCs w:val="20"/>
                <w:lang w:bidi="ne-NP"/>
              </w:rPr>
            </w:pPr>
            <w:r>
              <w:rPr>
                <w:rFonts w:cs="TimesNewRoman"/>
                <w:szCs w:val="20"/>
                <w:lang w:bidi="ne-NP"/>
              </w:rPr>
              <w:t>Date of approval in the Department Council/Teaching Council,</w:t>
            </w:r>
          </w:p>
        </w:tc>
      </w:tr>
      <w:tr w:rsidR="005403E9">
        <w:tc>
          <w:tcPr>
            <w:tcW w:w="2376" w:type="dxa"/>
            <w:tcMar>
              <w:top w:w="0" w:type="dxa"/>
              <w:left w:w="108" w:type="dxa"/>
              <w:bottom w:w="0" w:type="dxa"/>
              <w:right w:w="108" w:type="dxa"/>
            </w:tcMar>
          </w:tcPr>
          <w:p w:rsidR="005403E9" w:rsidRDefault="00BB77DB">
            <w:pPr>
              <w:pStyle w:val="Standard"/>
              <w:rPr>
                <w:rFonts w:cs="TimesNewRoman"/>
              </w:rPr>
            </w:pPr>
            <w:r>
              <w:rPr>
                <w:rFonts w:cs="TimesNewRoman"/>
              </w:rPr>
              <w:t>19</w:t>
            </w:r>
            <w:r w:rsidR="00102610">
              <w:rPr>
                <w:rFonts w:cs="TimesNewRoman"/>
              </w:rPr>
              <w:t>.09</w:t>
            </w:r>
            <w:r>
              <w:rPr>
                <w:rFonts w:cs="TimesNewRoman"/>
              </w:rPr>
              <w:t>.2024</w:t>
            </w:r>
          </w:p>
        </w:tc>
        <w:tc>
          <w:tcPr>
            <w:tcW w:w="3119" w:type="dxa"/>
            <w:tcMar>
              <w:top w:w="0" w:type="dxa"/>
              <w:left w:w="108" w:type="dxa"/>
              <w:bottom w:w="0" w:type="dxa"/>
              <w:right w:w="108" w:type="dxa"/>
            </w:tcMar>
          </w:tcPr>
          <w:p w:rsidR="005403E9" w:rsidRDefault="005403E9">
            <w:pPr>
              <w:pStyle w:val="Standard"/>
            </w:pPr>
          </w:p>
        </w:tc>
        <w:tc>
          <w:tcPr>
            <w:tcW w:w="4549" w:type="dxa"/>
            <w:tcMar>
              <w:top w:w="0" w:type="dxa"/>
              <w:left w:w="108" w:type="dxa"/>
              <w:bottom w:w="0" w:type="dxa"/>
              <w:right w:w="108" w:type="dxa"/>
            </w:tcMar>
          </w:tcPr>
          <w:p w:rsidR="005403E9" w:rsidRDefault="00740B89">
            <w:pPr>
              <w:pStyle w:val="Standard"/>
              <w:rPr>
                <w:rFonts w:cs="TimesNewRoman"/>
                <w:szCs w:val="20"/>
                <w:lang w:bidi="ne-NP"/>
              </w:rPr>
            </w:pPr>
            <w:r>
              <w:rPr>
                <w:rFonts w:cs="TimesNewRoman"/>
                <w:szCs w:val="20"/>
                <w:lang w:bidi="ne-NP"/>
              </w:rPr>
              <w:t>Department director / signature,</w:t>
            </w:r>
          </w:p>
        </w:tc>
      </w:tr>
      <w:tr w:rsidR="005403E9">
        <w:tc>
          <w:tcPr>
            <w:tcW w:w="2376" w:type="dxa"/>
            <w:tcMar>
              <w:top w:w="0" w:type="dxa"/>
              <w:left w:w="108" w:type="dxa"/>
              <w:bottom w:w="0" w:type="dxa"/>
              <w:right w:w="108" w:type="dxa"/>
            </w:tcMar>
          </w:tcPr>
          <w:p w:rsidR="005403E9" w:rsidRDefault="005403E9">
            <w:pPr>
              <w:pStyle w:val="Standard"/>
              <w:rPr>
                <w:rFonts w:cs="TimesNewRoman"/>
              </w:rPr>
            </w:pPr>
          </w:p>
        </w:tc>
        <w:tc>
          <w:tcPr>
            <w:tcW w:w="3119" w:type="dxa"/>
            <w:tcMar>
              <w:top w:w="0" w:type="dxa"/>
              <w:left w:w="108" w:type="dxa"/>
              <w:bottom w:w="0" w:type="dxa"/>
              <w:right w:w="108" w:type="dxa"/>
            </w:tcMar>
          </w:tcPr>
          <w:p w:rsidR="005403E9" w:rsidRDefault="005403E9">
            <w:pPr>
              <w:pStyle w:val="Standard"/>
            </w:pPr>
          </w:p>
        </w:tc>
        <w:tc>
          <w:tcPr>
            <w:tcW w:w="4549" w:type="dxa"/>
            <w:tcMar>
              <w:top w:w="0" w:type="dxa"/>
              <w:left w:w="108" w:type="dxa"/>
              <w:bottom w:w="0" w:type="dxa"/>
              <w:right w:w="108" w:type="dxa"/>
            </w:tcMar>
          </w:tcPr>
          <w:p w:rsidR="00EE7692" w:rsidRDefault="00EE7692" w:rsidP="005519DE">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EE7692" w:rsidRDefault="00EE7692" w:rsidP="00EE7692">
            <w:pPr>
              <w:autoSpaceDE w:val="0"/>
              <w:adjustRightInd w:val="0"/>
              <w:rPr>
                <w:rFonts w:asciiTheme="majorHAnsi" w:hAnsiTheme="majorHAnsi" w:cs="TimesNewRoman"/>
                <w:szCs w:val="20"/>
                <w:lang w:bidi="ne-NP"/>
              </w:rPr>
            </w:pPr>
            <w:bookmarkStart w:id="0" w:name="_GoBack"/>
            <w:bookmarkEnd w:id="0"/>
          </w:p>
          <w:p w:rsidR="005403E9" w:rsidRDefault="005403E9">
            <w:pPr>
              <w:pStyle w:val="Standard"/>
              <w:rPr>
                <w:rFonts w:cs="TimesNewRoman"/>
                <w:szCs w:val="20"/>
                <w:lang w:bidi="ne-NP"/>
              </w:rPr>
            </w:pPr>
          </w:p>
        </w:tc>
      </w:tr>
    </w:tbl>
    <w:p w:rsidR="005403E9" w:rsidRDefault="005403E9">
      <w:pPr>
        <w:pStyle w:val="Standard"/>
        <w:ind w:left="5664"/>
      </w:pPr>
    </w:p>
    <w:sectPr w:rsidR="005403E9">
      <w:footerReference w:type="default" r:id="rId9"/>
      <w:headerReference w:type="first" r:id="rId10"/>
      <w:footerReference w:type="first" r:id="rId11"/>
      <w:pgSz w:w="11906" w:h="16838"/>
      <w:pgMar w:top="851" w:right="567" w:bottom="766"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1A" w:rsidRDefault="00BE651A">
      <w:r>
        <w:separator/>
      </w:r>
    </w:p>
  </w:endnote>
  <w:endnote w:type="continuationSeparator" w:id="0">
    <w:p w:rsidR="00BE651A" w:rsidRDefault="00BE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UMF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dvOT50bc4fce">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15" w:rsidRDefault="00BE6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15" w:rsidRDefault="00740B89">
    <w:pPr>
      <w:pStyle w:val="Footer"/>
    </w:pPr>
    <w:r>
      <w:rPr>
        <w:noProof/>
        <w:lang w:val="en-US"/>
      </w:rPr>
      <w:drawing>
        <wp:anchor distT="0" distB="0" distL="114300" distR="114300" simplePos="0" relativeHeight="251659264" behindDoc="1" locked="0" layoutInCell="1" allowOverlap="1">
          <wp:simplePos x="0" y="0"/>
          <wp:positionH relativeFrom="page">
            <wp:posOffset>961583</wp:posOffset>
          </wp:positionH>
          <wp:positionV relativeFrom="page">
            <wp:posOffset>9269638</wp:posOffset>
          </wp:positionV>
          <wp:extent cx="1225113" cy="1225113"/>
          <wp:effectExtent l="0" t="0" r="0" b="0"/>
          <wp:wrapNone/>
          <wp:docPr id="1" name="Imagin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25113" cy="122511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1A" w:rsidRDefault="00BE651A">
      <w:r>
        <w:rPr>
          <w:color w:val="000000"/>
        </w:rPr>
        <w:separator/>
      </w:r>
    </w:p>
  </w:footnote>
  <w:footnote w:type="continuationSeparator" w:id="0">
    <w:p w:rsidR="00BE651A" w:rsidRDefault="00BE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15" w:rsidRDefault="00BE651A">
    <w:pPr>
      <w:pStyle w:val="Header"/>
    </w:pPr>
  </w:p>
  <w:p w:rsidR="002C0E15" w:rsidRDefault="00BE6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C4F"/>
    <w:multiLevelType w:val="multilevel"/>
    <w:tmpl w:val="C84CA1FE"/>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32122751"/>
    <w:multiLevelType w:val="multilevel"/>
    <w:tmpl w:val="11B0D58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3B2E20DF"/>
    <w:multiLevelType w:val="hybridMultilevel"/>
    <w:tmpl w:val="0BDC6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D4E3E"/>
    <w:multiLevelType w:val="multilevel"/>
    <w:tmpl w:val="A746C03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3D745644"/>
    <w:multiLevelType w:val="multilevel"/>
    <w:tmpl w:val="7F1E2DC0"/>
    <w:styleLink w:val="WWNum2"/>
    <w:lvl w:ilvl="0">
      <w:numFmt w:val="bullet"/>
      <w:lvlText w:val="-"/>
      <w:lvlJc w:val="left"/>
      <w:rPr>
        <w:rFonts w:eastAsia="Times New Roman" w:cs="TimesNew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622C6C08"/>
    <w:multiLevelType w:val="multilevel"/>
    <w:tmpl w:val="91A4C44A"/>
    <w:styleLink w:val="N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8C34C5B"/>
    <w:multiLevelType w:val="multilevel"/>
    <w:tmpl w:val="15C695C6"/>
    <w:styleLink w:val="WWNum1"/>
    <w:lvl w:ilvl="0">
      <w:start w:val="1"/>
      <w:numFmt w:val="decimal"/>
      <w:lvlText w:val="%1."/>
      <w:lvlJc w:val="left"/>
    </w:lvl>
    <w:lvl w:ilvl="1">
      <w:numFmt w:val="bullet"/>
      <w:lvlText w:val="-"/>
      <w:lvlJc w:val="left"/>
      <w:rPr>
        <w:rFonts w:eastAsia="Times New Roman" w:cs="TimesNew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79CA1218"/>
    <w:multiLevelType w:val="multilevel"/>
    <w:tmpl w:val="8A0A025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5"/>
  </w:num>
  <w:num w:numId="2">
    <w:abstractNumId w:val="6"/>
  </w:num>
  <w:num w:numId="3">
    <w:abstractNumId w:val="4"/>
  </w:num>
  <w:num w:numId="4">
    <w:abstractNumId w:val="1"/>
  </w:num>
  <w:num w:numId="5">
    <w:abstractNumId w:val="3"/>
  </w:num>
  <w:num w:numId="6">
    <w:abstractNumId w:val="7"/>
  </w:num>
  <w:num w:numId="7">
    <w:abstractNumId w:val="0"/>
  </w:num>
  <w:num w:numId="8">
    <w:abstractNumId w:val="0"/>
    <w:lvlOverride w:ilvl="0">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403E9"/>
    <w:rsid w:val="00004DD5"/>
    <w:rsid w:val="00102610"/>
    <w:rsid w:val="001708BB"/>
    <w:rsid w:val="0031486C"/>
    <w:rsid w:val="003235E8"/>
    <w:rsid w:val="00457443"/>
    <w:rsid w:val="00484004"/>
    <w:rsid w:val="00512682"/>
    <w:rsid w:val="005403E9"/>
    <w:rsid w:val="005519DE"/>
    <w:rsid w:val="00740B89"/>
    <w:rsid w:val="008D759B"/>
    <w:rsid w:val="008F1404"/>
    <w:rsid w:val="0093125E"/>
    <w:rsid w:val="009B58E5"/>
    <w:rsid w:val="00A143F3"/>
    <w:rsid w:val="00A72463"/>
    <w:rsid w:val="00A90223"/>
    <w:rsid w:val="00BB77DB"/>
    <w:rsid w:val="00BE651A"/>
    <w:rsid w:val="00BF578E"/>
    <w:rsid w:val="00D6716C"/>
    <w:rsid w:val="00EE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ahoma"/>
        <w:sz w:val="22"/>
        <w:szCs w:val="22"/>
        <w:lang w:val="ro-RO"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keepLines/>
      <w:spacing w:before="240"/>
      <w:outlineLvl w:val="0"/>
    </w:pPr>
    <w:rPr>
      <w:b/>
      <w:sz w:val="32"/>
      <w:szCs w:val="32"/>
    </w:rPr>
  </w:style>
  <w:style w:type="paragraph" w:styleId="Heading2">
    <w:name w:val="heading 2"/>
    <w:basedOn w:val="Standard"/>
    <w:next w:val="Standard"/>
    <w:pPr>
      <w:keepNext/>
      <w:keepLines/>
      <w:spacing w:before="40"/>
      <w:outlineLvl w:val="1"/>
    </w:pPr>
    <w:rPr>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300" w:lineRule="exact"/>
    </w:pPr>
    <w:rPr>
      <w:sz w:val="20"/>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Header">
    <w:name w:val="header"/>
    <w:basedOn w:val="Standard"/>
    <w:pPr>
      <w:tabs>
        <w:tab w:val="center" w:pos="4513"/>
        <w:tab w:val="right" w:pos="9026"/>
      </w:tabs>
      <w:spacing w:line="240" w:lineRule="auto"/>
    </w:pPr>
  </w:style>
  <w:style w:type="paragraph" w:styleId="Footer">
    <w:name w:val="footer"/>
    <w:basedOn w:val="Standard"/>
    <w:pPr>
      <w:tabs>
        <w:tab w:val="center" w:pos="4513"/>
        <w:tab w:val="right" w:pos="9026"/>
      </w:tabs>
      <w:spacing w:line="240" w:lineRule="auto"/>
    </w:pPr>
  </w:style>
  <w:style w:type="paragraph" w:customStyle="1" w:styleId="ContactUMF">
    <w:name w:val="Contact UMF"/>
    <w:next w:val="Standard"/>
    <w:pPr>
      <w:widowControl/>
      <w:spacing w:line="280" w:lineRule="exact"/>
    </w:pPr>
    <w:rPr>
      <w:color w:val="BEBEBE"/>
      <w:sz w:val="20"/>
      <w:szCs w:val="20"/>
    </w:rPr>
  </w:style>
  <w:style w:type="paragraph" w:styleId="BalloonText">
    <w:name w:val="Balloon Text"/>
    <w:basedOn w:val="Standard"/>
    <w:pPr>
      <w:spacing w:line="240" w:lineRule="auto"/>
    </w:pPr>
    <w:rPr>
      <w:rFonts w:ascii="Segoe UI" w:hAnsi="Segoe UI" w:cs="Segoe UI"/>
      <w:sz w:val="18"/>
      <w:szCs w:val="18"/>
    </w:rPr>
  </w:style>
  <w:style w:type="paragraph" w:styleId="Subtitle">
    <w:name w:val="Subtitle"/>
    <w:basedOn w:val="Standard"/>
    <w:next w:val="Standard"/>
    <w:pPr>
      <w:spacing w:after="160"/>
    </w:pPr>
    <w:rPr>
      <w:b/>
      <w:color w:val="808080"/>
      <w:spacing w:val="15"/>
    </w:rPr>
  </w:style>
  <w:style w:type="paragraph" w:styleId="Quote">
    <w:name w:val="Quote"/>
    <w:basedOn w:val="Standard"/>
    <w:next w:val="Standard"/>
    <w:pPr>
      <w:spacing w:before="200" w:after="160"/>
      <w:ind w:left="864" w:right="864"/>
      <w:jc w:val="center"/>
    </w:pPr>
    <w:rPr>
      <w:i/>
      <w:iCs/>
      <w:color w:val="000000"/>
    </w:rPr>
  </w:style>
  <w:style w:type="paragraph" w:styleId="IntenseQuote">
    <w:name w:val="Intense Quote"/>
    <w:basedOn w:val="Standard"/>
    <w:next w:val="Standard"/>
    <w:pPr>
      <w:pBdr>
        <w:top w:val="single" w:sz="4" w:space="10" w:color="CFAB7A"/>
        <w:bottom w:val="single" w:sz="4" w:space="10" w:color="CFAB7A"/>
      </w:pBdr>
      <w:spacing w:before="360" w:after="360"/>
      <w:ind w:left="864" w:right="864"/>
      <w:jc w:val="center"/>
    </w:pPr>
    <w:rPr>
      <w:i/>
      <w:iCs/>
      <w:color w:val="000000"/>
    </w:rPr>
  </w:style>
  <w:style w:type="paragraph" w:customStyle="1" w:styleId="Default">
    <w:name w:val="Default"/>
    <w:pPr>
      <w:widowControl/>
    </w:pPr>
    <w:rPr>
      <w:rFonts w:ascii="Arial" w:eastAsia="Times New Roman" w:hAnsi="Arial" w:cs="Arial"/>
      <w:color w:val="000000"/>
      <w:sz w:val="24"/>
      <w:szCs w:val="24"/>
      <w:lang w:val="en-US"/>
    </w:rPr>
  </w:style>
  <w:style w:type="paragraph" w:styleId="ListParagraph">
    <w:name w:val="List Paragraph"/>
    <w:basedOn w:val="Standard"/>
    <w:pPr>
      <w:ind w:left="720"/>
    </w:p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rFonts w:ascii="UMF Sans" w:eastAsia="Trebuchet MS" w:hAnsi="UMF Sans" w:cs="Tahoma"/>
      <w:b/>
      <w:sz w:val="32"/>
      <w:szCs w:val="32"/>
    </w:rPr>
  </w:style>
  <w:style w:type="character" w:customStyle="1" w:styleId="BalloonTextChar">
    <w:name w:val="Balloon Text Char"/>
    <w:basedOn w:val="DefaultParagraphFont"/>
    <w:rPr>
      <w:rFonts w:ascii="Segoe UI" w:hAnsi="Segoe UI" w:cs="Segoe UI"/>
      <w:sz w:val="18"/>
      <w:szCs w:val="18"/>
    </w:rPr>
  </w:style>
  <w:style w:type="character" w:customStyle="1" w:styleId="Heading2Char">
    <w:name w:val="Heading 2 Char"/>
    <w:basedOn w:val="DefaultParagraphFont"/>
    <w:rPr>
      <w:rFonts w:ascii="Trebuchet MS" w:eastAsia="Trebuchet MS" w:hAnsi="Trebuchet MS" w:cs="Tahoma"/>
      <w:b/>
      <w:color w:val="000000"/>
      <w:sz w:val="24"/>
      <w:szCs w:val="26"/>
    </w:rPr>
  </w:style>
  <w:style w:type="character" w:customStyle="1" w:styleId="SubtitleChar">
    <w:name w:val="Subtitle Char"/>
    <w:basedOn w:val="DefaultParagraphFont"/>
    <w:rPr>
      <w:rFonts w:eastAsia="Trebuchet MS"/>
      <w:b/>
      <w:color w:val="808080"/>
      <w:spacing w:val="15"/>
      <w:sz w:val="20"/>
    </w:rPr>
  </w:style>
  <w:style w:type="character" w:styleId="SubtleEmphasis">
    <w:name w:val="Subtle Emphasis"/>
    <w:basedOn w:val="DefaultParagraphFont"/>
    <w:rPr>
      <w:i/>
      <w:iCs/>
      <w:color w:val="000000"/>
    </w:rPr>
  </w:style>
  <w:style w:type="character" w:customStyle="1" w:styleId="QuoteChar">
    <w:name w:val="Quote Char"/>
    <w:basedOn w:val="DefaultParagraphFont"/>
    <w:rPr>
      <w:rFonts w:ascii="Trebuchet MS" w:hAnsi="Trebuchet MS"/>
      <w:i/>
      <w:iCs/>
      <w:color w:val="000000"/>
      <w:sz w:val="20"/>
    </w:rPr>
  </w:style>
  <w:style w:type="character" w:customStyle="1" w:styleId="IntenseQuoteChar">
    <w:name w:val="Intense Quote Char"/>
    <w:basedOn w:val="DefaultParagraphFont"/>
    <w:rPr>
      <w:rFonts w:ascii="Trebuchet MS" w:hAnsi="Trebuchet MS"/>
      <w:i/>
      <w:iCs/>
      <w:color w:val="000000"/>
      <w:sz w:val="20"/>
    </w:rPr>
  </w:style>
  <w:style w:type="character" w:styleId="SubtleReference">
    <w:name w:val="Subtle Reference"/>
    <w:basedOn w:val="DefaultParagraphFont"/>
    <w:rPr>
      <w:smallCaps/>
      <w:color w:val="000000"/>
    </w:rPr>
  </w:style>
  <w:style w:type="character" w:styleId="IntenseReference">
    <w:name w:val="Intense Reference"/>
    <w:basedOn w:val="DefaultParagraphFont"/>
    <w:rPr>
      <w:b/>
      <w:bCs/>
      <w:smallCaps/>
      <w:color w:val="000000"/>
      <w:spacing w:val="5"/>
    </w:rPr>
  </w:style>
  <w:style w:type="character" w:customStyle="1" w:styleId="Internetlink">
    <w:name w:val="Internet link"/>
    <w:basedOn w:val="DefaultParagraphFont"/>
    <w:rPr>
      <w:color w:val="0000FF"/>
      <w:u w:val="single"/>
    </w:rPr>
  </w:style>
  <w:style w:type="character" w:customStyle="1" w:styleId="body1">
    <w:name w:val="body1"/>
    <w:rPr>
      <w:rFonts w:ascii="Verdana" w:hAnsi="Verdana"/>
      <w:color w:val="000000"/>
      <w:sz w:val="16"/>
      <w:szCs w:val="16"/>
    </w:rPr>
  </w:style>
  <w:style w:type="character" w:customStyle="1" w:styleId="CharChar17">
    <w:name w:val="Char Char17"/>
    <w:rPr>
      <w:rFonts w:ascii="Cambria" w:hAnsi="Cambria"/>
      <w:b/>
      <w:bCs/>
      <w:color w:val="365F91"/>
      <w:sz w:val="28"/>
      <w:szCs w:val="28"/>
      <w:lang w:val="ro-RO" w:eastAsia="ro-RO" w:bidi="ar-SA"/>
    </w:rPr>
  </w:style>
  <w:style w:type="character" w:customStyle="1" w:styleId="apple-converted-space">
    <w:name w:val="apple-converted-space"/>
    <w:basedOn w:val="DefaultParagraphFont"/>
  </w:style>
  <w:style w:type="character" w:styleId="PlaceholderText">
    <w:name w:val="Placeholder Text"/>
    <w:basedOn w:val="DefaultParagraphFont"/>
    <w:rPr>
      <w:color w:val="808080"/>
    </w:rPr>
  </w:style>
  <w:style w:type="character" w:customStyle="1" w:styleId="Style1">
    <w:name w:val="Style1"/>
    <w:basedOn w:val="DefaultParagraphFont"/>
    <w:rPr>
      <w:color w:val="FF0000"/>
    </w:rPr>
  </w:style>
  <w:style w:type="character" w:customStyle="1" w:styleId="ListLabel1">
    <w:name w:val="ListLabel 1"/>
  </w:style>
  <w:style w:type="character" w:customStyle="1" w:styleId="ListLabel2">
    <w:name w:val="ListLabel 2"/>
    <w:rPr>
      <w:rFonts w:eastAsia="Times New Roman" w:cs="TimesNewRoman"/>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eastAsia="Times New Roman" w:cs="TimesNewRoman"/>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ListLabel19">
    <w:name w:val="ListLabel 19"/>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shorttext">
    <w:name w:val="short_text"/>
    <w:basedOn w:val="DefaultParagraphFont"/>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9">
    <w:name w:val="WWNum9"/>
    <w:basedOn w:val="NoList"/>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ahoma"/>
        <w:sz w:val="22"/>
        <w:szCs w:val="22"/>
        <w:lang w:val="ro-RO"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keepLines/>
      <w:spacing w:before="240"/>
      <w:outlineLvl w:val="0"/>
    </w:pPr>
    <w:rPr>
      <w:b/>
      <w:sz w:val="32"/>
      <w:szCs w:val="32"/>
    </w:rPr>
  </w:style>
  <w:style w:type="paragraph" w:styleId="Heading2">
    <w:name w:val="heading 2"/>
    <w:basedOn w:val="Standard"/>
    <w:next w:val="Standard"/>
    <w:pPr>
      <w:keepNext/>
      <w:keepLines/>
      <w:spacing w:before="40"/>
      <w:outlineLvl w:val="1"/>
    </w:pPr>
    <w:rPr>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300" w:lineRule="exact"/>
    </w:pPr>
    <w:rPr>
      <w:sz w:val="20"/>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Header">
    <w:name w:val="header"/>
    <w:basedOn w:val="Standard"/>
    <w:pPr>
      <w:tabs>
        <w:tab w:val="center" w:pos="4513"/>
        <w:tab w:val="right" w:pos="9026"/>
      </w:tabs>
      <w:spacing w:line="240" w:lineRule="auto"/>
    </w:pPr>
  </w:style>
  <w:style w:type="paragraph" w:styleId="Footer">
    <w:name w:val="footer"/>
    <w:basedOn w:val="Standard"/>
    <w:pPr>
      <w:tabs>
        <w:tab w:val="center" w:pos="4513"/>
        <w:tab w:val="right" w:pos="9026"/>
      </w:tabs>
      <w:spacing w:line="240" w:lineRule="auto"/>
    </w:pPr>
  </w:style>
  <w:style w:type="paragraph" w:customStyle="1" w:styleId="ContactUMF">
    <w:name w:val="Contact UMF"/>
    <w:next w:val="Standard"/>
    <w:pPr>
      <w:widowControl/>
      <w:spacing w:line="280" w:lineRule="exact"/>
    </w:pPr>
    <w:rPr>
      <w:color w:val="BEBEBE"/>
      <w:sz w:val="20"/>
      <w:szCs w:val="20"/>
    </w:rPr>
  </w:style>
  <w:style w:type="paragraph" w:styleId="BalloonText">
    <w:name w:val="Balloon Text"/>
    <w:basedOn w:val="Standard"/>
    <w:pPr>
      <w:spacing w:line="240" w:lineRule="auto"/>
    </w:pPr>
    <w:rPr>
      <w:rFonts w:ascii="Segoe UI" w:hAnsi="Segoe UI" w:cs="Segoe UI"/>
      <w:sz w:val="18"/>
      <w:szCs w:val="18"/>
    </w:rPr>
  </w:style>
  <w:style w:type="paragraph" w:styleId="Subtitle">
    <w:name w:val="Subtitle"/>
    <w:basedOn w:val="Standard"/>
    <w:next w:val="Standard"/>
    <w:pPr>
      <w:spacing w:after="160"/>
    </w:pPr>
    <w:rPr>
      <w:b/>
      <w:color w:val="808080"/>
      <w:spacing w:val="15"/>
    </w:rPr>
  </w:style>
  <w:style w:type="paragraph" w:styleId="Quote">
    <w:name w:val="Quote"/>
    <w:basedOn w:val="Standard"/>
    <w:next w:val="Standard"/>
    <w:pPr>
      <w:spacing w:before="200" w:after="160"/>
      <w:ind w:left="864" w:right="864"/>
      <w:jc w:val="center"/>
    </w:pPr>
    <w:rPr>
      <w:i/>
      <w:iCs/>
      <w:color w:val="000000"/>
    </w:rPr>
  </w:style>
  <w:style w:type="paragraph" w:styleId="IntenseQuote">
    <w:name w:val="Intense Quote"/>
    <w:basedOn w:val="Standard"/>
    <w:next w:val="Standard"/>
    <w:pPr>
      <w:pBdr>
        <w:top w:val="single" w:sz="4" w:space="10" w:color="CFAB7A"/>
        <w:bottom w:val="single" w:sz="4" w:space="10" w:color="CFAB7A"/>
      </w:pBdr>
      <w:spacing w:before="360" w:after="360"/>
      <w:ind w:left="864" w:right="864"/>
      <w:jc w:val="center"/>
    </w:pPr>
    <w:rPr>
      <w:i/>
      <w:iCs/>
      <w:color w:val="000000"/>
    </w:rPr>
  </w:style>
  <w:style w:type="paragraph" w:customStyle="1" w:styleId="Default">
    <w:name w:val="Default"/>
    <w:pPr>
      <w:widowControl/>
    </w:pPr>
    <w:rPr>
      <w:rFonts w:ascii="Arial" w:eastAsia="Times New Roman" w:hAnsi="Arial" w:cs="Arial"/>
      <w:color w:val="000000"/>
      <w:sz w:val="24"/>
      <w:szCs w:val="24"/>
      <w:lang w:val="en-US"/>
    </w:rPr>
  </w:style>
  <w:style w:type="paragraph" w:styleId="ListParagraph">
    <w:name w:val="List Paragraph"/>
    <w:basedOn w:val="Standard"/>
    <w:pPr>
      <w:ind w:left="720"/>
    </w:p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rFonts w:ascii="UMF Sans" w:eastAsia="Trebuchet MS" w:hAnsi="UMF Sans" w:cs="Tahoma"/>
      <w:b/>
      <w:sz w:val="32"/>
      <w:szCs w:val="32"/>
    </w:rPr>
  </w:style>
  <w:style w:type="character" w:customStyle="1" w:styleId="BalloonTextChar">
    <w:name w:val="Balloon Text Char"/>
    <w:basedOn w:val="DefaultParagraphFont"/>
    <w:rPr>
      <w:rFonts w:ascii="Segoe UI" w:hAnsi="Segoe UI" w:cs="Segoe UI"/>
      <w:sz w:val="18"/>
      <w:szCs w:val="18"/>
    </w:rPr>
  </w:style>
  <w:style w:type="character" w:customStyle="1" w:styleId="Heading2Char">
    <w:name w:val="Heading 2 Char"/>
    <w:basedOn w:val="DefaultParagraphFont"/>
    <w:rPr>
      <w:rFonts w:ascii="Trebuchet MS" w:eastAsia="Trebuchet MS" w:hAnsi="Trebuchet MS" w:cs="Tahoma"/>
      <w:b/>
      <w:color w:val="000000"/>
      <w:sz w:val="24"/>
      <w:szCs w:val="26"/>
    </w:rPr>
  </w:style>
  <w:style w:type="character" w:customStyle="1" w:styleId="SubtitleChar">
    <w:name w:val="Subtitle Char"/>
    <w:basedOn w:val="DefaultParagraphFont"/>
    <w:rPr>
      <w:rFonts w:eastAsia="Trebuchet MS"/>
      <w:b/>
      <w:color w:val="808080"/>
      <w:spacing w:val="15"/>
      <w:sz w:val="20"/>
    </w:rPr>
  </w:style>
  <w:style w:type="character" w:styleId="SubtleEmphasis">
    <w:name w:val="Subtle Emphasis"/>
    <w:basedOn w:val="DefaultParagraphFont"/>
    <w:rPr>
      <w:i/>
      <w:iCs/>
      <w:color w:val="000000"/>
    </w:rPr>
  </w:style>
  <w:style w:type="character" w:customStyle="1" w:styleId="QuoteChar">
    <w:name w:val="Quote Char"/>
    <w:basedOn w:val="DefaultParagraphFont"/>
    <w:rPr>
      <w:rFonts w:ascii="Trebuchet MS" w:hAnsi="Trebuchet MS"/>
      <w:i/>
      <w:iCs/>
      <w:color w:val="000000"/>
      <w:sz w:val="20"/>
    </w:rPr>
  </w:style>
  <w:style w:type="character" w:customStyle="1" w:styleId="IntenseQuoteChar">
    <w:name w:val="Intense Quote Char"/>
    <w:basedOn w:val="DefaultParagraphFont"/>
    <w:rPr>
      <w:rFonts w:ascii="Trebuchet MS" w:hAnsi="Trebuchet MS"/>
      <w:i/>
      <w:iCs/>
      <w:color w:val="000000"/>
      <w:sz w:val="20"/>
    </w:rPr>
  </w:style>
  <w:style w:type="character" w:styleId="SubtleReference">
    <w:name w:val="Subtle Reference"/>
    <w:basedOn w:val="DefaultParagraphFont"/>
    <w:rPr>
      <w:smallCaps/>
      <w:color w:val="000000"/>
    </w:rPr>
  </w:style>
  <w:style w:type="character" w:styleId="IntenseReference">
    <w:name w:val="Intense Reference"/>
    <w:basedOn w:val="DefaultParagraphFont"/>
    <w:rPr>
      <w:b/>
      <w:bCs/>
      <w:smallCaps/>
      <w:color w:val="000000"/>
      <w:spacing w:val="5"/>
    </w:rPr>
  </w:style>
  <w:style w:type="character" w:customStyle="1" w:styleId="Internetlink">
    <w:name w:val="Internet link"/>
    <w:basedOn w:val="DefaultParagraphFont"/>
    <w:rPr>
      <w:color w:val="0000FF"/>
      <w:u w:val="single"/>
    </w:rPr>
  </w:style>
  <w:style w:type="character" w:customStyle="1" w:styleId="body1">
    <w:name w:val="body1"/>
    <w:rPr>
      <w:rFonts w:ascii="Verdana" w:hAnsi="Verdana"/>
      <w:color w:val="000000"/>
      <w:sz w:val="16"/>
      <w:szCs w:val="16"/>
    </w:rPr>
  </w:style>
  <w:style w:type="character" w:customStyle="1" w:styleId="CharChar17">
    <w:name w:val="Char Char17"/>
    <w:rPr>
      <w:rFonts w:ascii="Cambria" w:hAnsi="Cambria"/>
      <w:b/>
      <w:bCs/>
      <w:color w:val="365F91"/>
      <w:sz w:val="28"/>
      <w:szCs w:val="28"/>
      <w:lang w:val="ro-RO" w:eastAsia="ro-RO" w:bidi="ar-SA"/>
    </w:rPr>
  </w:style>
  <w:style w:type="character" w:customStyle="1" w:styleId="apple-converted-space">
    <w:name w:val="apple-converted-space"/>
    <w:basedOn w:val="DefaultParagraphFont"/>
  </w:style>
  <w:style w:type="character" w:styleId="PlaceholderText">
    <w:name w:val="Placeholder Text"/>
    <w:basedOn w:val="DefaultParagraphFont"/>
    <w:rPr>
      <w:color w:val="808080"/>
    </w:rPr>
  </w:style>
  <w:style w:type="character" w:customStyle="1" w:styleId="Style1">
    <w:name w:val="Style1"/>
    <w:basedOn w:val="DefaultParagraphFont"/>
    <w:rPr>
      <w:color w:val="FF0000"/>
    </w:rPr>
  </w:style>
  <w:style w:type="character" w:customStyle="1" w:styleId="ListLabel1">
    <w:name w:val="ListLabel 1"/>
  </w:style>
  <w:style w:type="character" w:customStyle="1" w:styleId="ListLabel2">
    <w:name w:val="ListLabel 2"/>
    <w:rPr>
      <w:rFonts w:eastAsia="Times New Roman" w:cs="TimesNewRoman"/>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eastAsia="Times New Roman" w:cs="TimesNewRoman"/>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ListLabel19">
    <w:name w:val="ListLabel 19"/>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shorttext">
    <w:name w:val="short_text"/>
    <w:basedOn w:val="DefaultParagraphFont"/>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9">
    <w:name w:val="WWNum9"/>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MACCJ7WAEWV6-565203097-848</_dlc_DocId>
    <_dlc_DocIdUrl xmlns="4c155583-69f9-458b-843e-56574a4bdc09">
      <Url>https://www.umfiasi.ro/ro/academic/facultati/bioinginerie-medicala/_layouts/15/DocIdRedir.aspx?ID=MACCJ7WAEWV6-565203097-848</Url>
      <Description>MACCJ7WAEWV6-565203097-848</Description>
    </_dlc_DocIdUrl>
  </documentManagement>
</p:properties>
</file>

<file path=customXml/itemProps1.xml><?xml version="1.0" encoding="utf-8"?>
<ds:datastoreItem xmlns:ds="http://schemas.openxmlformats.org/officeDocument/2006/customXml" ds:itemID="{8057EA40-2A2E-4B62-A088-1E39A24F160E}"/>
</file>

<file path=customXml/itemProps2.xml><?xml version="1.0" encoding="utf-8"?>
<ds:datastoreItem xmlns:ds="http://schemas.openxmlformats.org/officeDocument/2006/customXml" ds:itemID="{3BF3B7C5-F801-4A5C-8CFC-372B80B635E1}"/>
</file>

<file path=customXml/itemProps3.xml><?xml version="1.0" encoding="utf-8"?>
<ds:datastoreItem xmlns:ds="http://schemas.openxmlformats.org/officeDocument/2006/customXml" ds:itemID="{E6B181AE-3569-4C5B-B68A-5CE6A443BCE3}"/>
</file>

<file path=customXml/itemProps4.xml><?xml version="1.0" encoding="utf-8"?>
<ds:datastoreItem xmlns:ds="http://schemas.openxmlformats.org/officeDocument/2006/customXml" ds:itemID="{D6E86964-4E07-4B08-86FC-266AC4598287}"/>
</file>

<file path=docProps/app.xml><?xml version="1.0" encoding="utf-8"?>
<Properties xmlns="http://schemas.openxmlformats.org/officeDocument/2006/extended-properties" xmlns:vt="http://schemas.openxmlformats.org/officeDocument/2006/docPropsVTypes">
  <Template>Normal.dotm</Template>
  <TotalTime>1</TotalTime>
  <Pages>1</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Antet UMF, Rectorat</vt:lpstr>
    </vt:vector>
  </TitlesOfParts>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2022-05-31T10:00:00Z</cp:lastPrinted>
  <dcterms:created xsi:type="dcterms:W3CDTF">2024-09-30T16:31:00Z</dcterms:created>
  <dcterms:modified xsi:type="dcterms:W3CDTF">2024-10-04T06:52:00Z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ntentTypeId">
    <vt:lpwstr>0x0101005FAE372BAB89884FACF915B8724F5328</vt:lpwstr>
  </property>
  <property fmtid="{D5CDD505-2E9C-101B-9397-08002B2CF9AE}" pid="4" name="_dlc_DocIdItemGuid">
    <vt:lpwstr>e126a686-5b04-4f0f-8c5e-60e4fbb4c9ff</vt:lpwstr>
  </property>
</Properties>
</file>