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56" w:rsidRDefault="002F3556" w:rsidP="00E3127B">
      <w:pPr>
        <w:jc w:val="center"/>
        <w:rPr>
          <w:rFonts w:asciiTheme="majorHAnsi" w:hAnsiTheme="majorHAnsi"/>
          <w:b/>
          <w:bCs/>
          <w:sz w:val="28"/>
          <w:szCs w:val="28"/>
          <w:lang w:val="en-US"/>
        </w:rPr>
      </w:pPr>
    </w:p>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970A1F" w:rsidRPr="00B57069">
              <w:rPr>
                <w:rFonts w:asciiTheme="majorHAnsi" w:hAnsiTheme="majorHAnsi"/>
                <w:b/>
                <w:noProof/>
              </w:rPr>
              <w:t>Histology. Pathological Anatomy</w:t>
            </w:r>
            <w:r w:rsidRPr="00AB6940">
              <w:rPr>
                <w:rFonts w:asciiTheme="majorHAnsi" w:hAnsiTheme="majorHAnsi"/>
                <w:b/>
              </w:rPr>
              <w:fldChar w:fldCharType="end"/>
            </w:r>
          </w:p>
        </w:tc>
        <w:tc>
          <w:tcPr>
            <w:tcW w:w="1572" w:type="dxa"/>
            <w:shd w:val="clear" w:color="auto" w:fill="auto"/>
          </w:tcPr>
          <w:p w:rsidR="00BF064D" w:rsidRPr="00AB6940" w:rsidRDefault="007F47E8" w:rsidP="00E155DA">
            <w:pPr>
              <w:rPr>
                <w:rFonts w:asciiTheme="majorHAnsi" w:hAnsiTheme="majorHAnsi"/>
                <w:b/>
              </w:rPr>
            </w:pPr>
            <w:r>
              <w:rPr>
                <w:rFonts w:asciiTheme="majorHAnsi" w:hAnsiTheme="majorHAnsi"/>
                <w:b/>
              </w:rPr>
              <w:t>RE1114</w:t>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D6498E" w:rsidRDefault="007334F1" w:rsidP="00C01D5F">
            <w:pPr>
              <w:rPr>
                <w:b/>
                <w:bCs/>
                <w:szCs w:val="20"/>
                <w:lang w:val="en-US"/>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D6498E">
              <w:rPr>
                <w:b/>
                <w:bCs/>
                <w:szCs w:val="20"/>
                <w:lang w:val="en-US"/>
              </w:rPr>
              <w:t>Lecturer Roxana Covali,</w:t>
            </w:r>
            <w:r w:rsidR="0099660A">
              <w:rPr>
                <w:b/>
                <w:bCs/>
                <w:szCs w:val="20"/>
                <w:lang w:val="en-US"/>
              </w:rPr>
              <w:t xml:space="preserve"> MD,</w:t>
            </w:r>
            <w:r w:rsidR="00D6498E">
              <w:rPr>
                <w:b/>
                <w:bCs/>
                <w:szCs w:val="20"/>
                <w:lang w:val="en-US"/>
              </w:rPr>
              <w:t xml:space="preserve"> PhD</w:t>
            </w:r>
          </w:p>
          <w:p w:rsidR="00CF6B2D" w:rsidRPr="007334F1" w:rsidRDefault="00D6498E" w:rsidP="00C01D5F">
            <w:pPr>
              <w:rPr>
                <w:rFonts w:asciiTheme="majorHAnsi" w:hAnsiTheme="majorHAnsi"/>
                <w:b/>
              </w:rPr>
            </w:pPr>
            <w:r>
              <w:rPr>
                <w:b/>
                <w:bCs/>
                <w:szCs w:val="20"/>
                <w:lang w:val="en-US"/>
              </w:rPr>
              <w:t>Lecturer</w:t>
            </w:r>
            <w:r w:rsidRPr="00B57069">
              <w:rPr>
                <w:rFonts w:asciiTheme="majorHAnsi" w:hAnsiTheme="majorHAnsi"/>
                <w:b/>
                <w:noProof/>
              </w:rPr>
              <w:t xml:space="preserve"> </w:t>
            </w:r>
            <w:r w:rsidR="00970A1F" w:rsidRPr="00B57069">
              <w:rPr>
                <w:rFonts w:asciiTheme="majorHAnsi" w:hAnsiTheme="majorHAnsi"/>
                <w:b/>
                <w:noProof/>
              </w:rPr>
              <w:t>Laura Adriana Rîșcanu</w:t>
            </w:r>
            <w:r w:rsidR="007334F1" w:rsidRPr="007334F1">
              <w:rPr>
                <w:rFonts w:asciiTheme="majorHAnsi" w:hAnsiTheme="majorHAnsi"/>
                <w:b/>
              </w:rPr>
              <w:fldChar w:fldCharType="end"/>
            </w:r>
            <w:r>
              <w:rPr>
                <w:rFonts w:asciiTheme="majorHAnsi" w:hAnsiTheme="majorHAnsi"/>
                <w:b/>
              </w:rPr>
              <w:t xml:space="preserve">, </w:t>
            </w:r>
            <w:r w:rsidR="0099660A">
              <w:rPr>
                <w:rFonts w:asciiTheme="majorHAnsi" w:hAnsiTheme="majorHAnsi"/>
                <w:b/>
              </w:rPr>
              <w:t xml:space="preserve">MD, </w:t>
            </w:r>
            <w:r>
              <w:rPr>
                <w:rFonts w:asciiTheme="majorHAnsi" w:hAnsiTheme="majorHAnsi"/>
                <w:b/>
              </w:rPr>
              <w:t>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D6498E" w:rsidRDefault="00D6498E" w:rsidP="00D6498E">
            <w:pPr>
              <w:rPr>
                <w:b/>
                <w:bCs/>
                <w:szCs w:val="20"/>
                <w:lang w:val="en-US"/>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b/>
                <w:bCs/>
                <w:szCs w:val="20"/>
                <w:lang w:val="en-US"/>
              </w:rPr>
              <w:t xml:space="preserve">Lecturer Roxana Covali, </w:t>
            </w:r>
            <w:r w:rsidR="0099660A">
              <w:rPr>
                <w:b/>
                <w:bCs/>
                <w:szCs w:val="20"/>
                <w:lang w:val="en-US"/>
              </w:rPr>
              <w:t xml:space="preserve">MD, </w:t>
            </w:r>
            <w:r>
              <w:rPr>
                <w:b/>
                <w:bCs/>
                <w:szCs w:val="20"/>
                <w:lang w:val="en-US"/>
              </w:rPr>
              <w:t>PhD</w:t>
            </w:r>
          </w:p>
          <w:p w:rsidR="00D6498E" w:rsidRPr="007334F1" w:rsidRDefault="00D6498E" w:rsidP="00D6498E">
            <w:pPr>
              <w:rPr>
                <w:rFonts w:asciiTheme="majorHAnsi" w:hAnsiTheme="majorHAnsi"/>
                <w:b/>
              </w:rPr>
            </w:pPr>
            <w:r>
              <w:rPr>
                <w:b/>
                <w:bCs/>
                <w:szCs w:val="20"/>
                <w:lang w:val="en-US"/>
              </w:rPr>
              <w:t>Lecturer</w:t>
            </w:r>
            <w:r w:rsidRPr="00B57069">
              <w:rPr>
                <w:rFonts w:asciiTheme="majorHAnsi" w:hAnsiTheme="majorHAnsi"/>
                <w:b/>
                <w:noProof/>
              </w:rPr>
              <w:t xml:space="preserve"> Laura Adriana Rîșcanu</w:t>
            </w:r>
            <w:r w:rsidRPr="007334F1">
              <w:rPr>
                <w:rFonts w:asciiTheme="majorHAnsi" w:hAnsiTheme="majorHAnsi"/>
                <w:b/>
              </w:rPr>
              <w:fldChar w:fldCharType="end"/>
            </w:r>
            <w:r>
              <w:rPr>
                <w:rFonts w:asciiTheme="majorHAnsi" w:hAnsiTheme="majorHAnsi"/>
                <w:b/>
              </w:rPr>
              <w:t xml:space="preserve">, </w:t>
            </w:r>
            <w:r w:rsidR="0099660A">
              <w:rPr>
                <w:rFonts w:asciiTheme="majorHAnsi" w:hAnsiTheme="majorHAnsi"/>
                <w:b/>
              </w:rPr>
              <w:t xml:space="preserve">MD, </w:t>
            </w:r>
            <w:r>
              <w:rPr>
                <w:rFonts w:asciiTheme="majorHAnsi" w:hAnsiTheme="majorHAnsi"/>
                <w:b/>
              </w:rPr>
              <w:t>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970A1F"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970A1F"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970A1F" w:rsidRPr="00B57069">
              <w:rPr>
                <w:rFonts w:asciiTheme="majorHAnsi" w:hAnsiTheme="majorHAnsi"/>
                <w:b/>
                <w:noProof/>
              </w:rPr>
              <w:t>Exam, E2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970A1F"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970A1F"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970A1F"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970A1F"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970A1F"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970A1F"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D6498E" w:rsidRPr="008607C1" w:rsidRDefault="00D6498E" w:rsidP="00934A08">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D6498E" w:rsidRPr="008607C1" w:rsidRDefault="00D6498E" w:rsidP="00934A08">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D6498E" w:rsidRPr="008607C1" w:rsidRDefault="00D6498E" w:rsidP="00934A08">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7</w:t>
            </w: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D6498E" w:rsidRPr="008607C1" w:rsidRDefault="00D6498E" w:rsidP="00934A08">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D6498E" w:rsidRPr="008607C1" w:rsidRDefault="00D6498E" w:rsidP="00934A08">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D6498E" w:rsidRPr="00386A2F" w:rsidTr="00384A9B">
        <w:tc>
          <w:tcPr>
            <w:tcW w:w="7054" w:type="dxa"/>
            <w:gridSpan w:val="5"/>
            <w:tcBorders>
              <w:bottom w:val="single" w:sz="4" w:space="0" w:color="auto"/>
            </w:tcBorders>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D6498E" w:rsidRPr="008607C1" w:rsidRDefault="00D6498E" w:rsidP="009C0DB1">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D6498E" w:rsidRPr="00A27206" w:rsidRDefault="00D6498E" w:rsidP="009C0DB1">
            <w:pPr>
              <w:spacing w:line="276" w:lineRule="auto"/>
              <w:jc w:val="center"/>
              <w:rPr>
                <w:rFonts w:asciiTheme="majorHAnsi" w:hAnsiTheme="majorHAnsi"/>
                <w:szCs w:val="20"/>
                <w:lang w:val="en-US"/>
              </w:rPr>
            </w:pP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D6498E" w:rsidRPr="008607C1" w:rsidRDefault="00D6498E" w:rsidP="009C0DB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lastRenderedPageBreak/>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D6498E" w:rsidRPr="008607C1" w:rsidRDefault="00D6498E" w:rsidP="009C0DB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D6498E" w:rsidRPr="00386A2F" w:rsidTr="00384A9B">
        <w:tc>
          <w:tcPr>
            <w:tcW w:w="7054" w:type="dxa"/>
            <w:gridSpan w:val="5"/>
            <w:shd w:val="clear" w:color="auto" w:fill="F2F2F2" w:themeFill="background1" w:themeFillShade="F2"/>
          </w:tcPr>
          <w:p w:rsidR="00D6498E" w:rsidRPr="008607C1" w:rsidRDefault="00D6498E" w:rsidP="009C0DB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D6498E" w:rsidRPr="008607C1" w:rsidRDefault="00D6498E" w:rsidP="009C0DB1">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D6498E" w:rsidRPr="008607C1" w:rsidRDefault="00D6498E" w:rsidP="009C0DB1">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7689"/>
      </w:tblGrid>
      <w:tr w:rsidR="00D6498E" w:rsidRPr="008C0CCD" w:rsidTr="00D6498E">
        <w:tc>
          <w:tcPr>
            <w:tcW w:w="2222" w:type="dxa"/>
            <w:shd w:val="clear" w:color="auto" w:fill="F2F2F2" w:themeFill="background1" w:themeFillShade="F2"/>
            <w:vAlign w:val="center"/>
          </w:tcPr>
          <w:p w:rsidR="00D6498E" w:rsidRPr="008C0CCD" w:rsidRDefault="00D6498E" w:rsidP="009C0DB1">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689" w:type="dxa"/>
          </w:tcPr>
          <w:p w:rsidR="00D6498E" w:rsidRPr="00A27206" w:rsidRDefault="00D6498E" w:rsidP="009C0DB1">
            <w:pPr>
              <w:spacing w:line="276" w:lineRule="auto"/>
              <w:rPr>
                <w:rFonts w:asciiTheme="majorHAnsi" w:hAnsiTheme="majorHAnsi"/>
                <w:szCs w:val="20"/>
                <w:lang w:val="en-US"/>
              </w:rPr>
            </w:pPr>
            <w:r w:rsidRPr="00A27206">
              <w:rPr>
                <w:rFonts w:asciiTheme="majorHAnsi" w:hAnsiTheme="majorHAnsi"/>
                <w:szCs w:val="20"/>
              </w:rPr>
              <w:t>Anatomy</w:t>
            </w:r>
          </w:p>
        </w:tc>
      </w:tr>
      <w:tr w:rsidR="00D6498E" w:rsidRPr="008C0CCD" w:rsidTr="00D6498E">
        <w:tc>
          <w:tcPr>
            <w:tcW w:w="2222" w:type="dxa"/>
            <w:shd w:val="clear" w:color="auto" w:fill="F2F2F2" w:themeFill="background1" w:themeFillShade="F2"/>
            <w:vAlign w:val="center"/>
          </w:tcPr>
          <w:p w:rsidR="00D6498E" w:rsidRPr="008C0CCD" w:rsidRDefault="00D6498E" w:rsidP="009C0DB1">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689" w:type="dxa"/>
          </w:tcPr>
          <w:p w:rsidR="00D6498E" w:rsidRPr="00A27206" w:rsidRDefault="00D6498E" w:rsidP="009C0DB1">
            <w:pPr>
              <w:spacing w:line="276" w:lineRule="auto"/>
              <w:rPr>
                <w:rFonts w:asciiTheme="majorHAnsi" w:hAnsiTheme="majorHAnsi"/>
                <w:szCs w:val="20"/>
                <w:lang w:val="en-US"/>
              </w:rPr>
            </w:pPr>
            <w:r w:rsidRPr="00A27206">
              <w:rPr>
                <w:rFonts w:asciiTheme="majorHAnsi" w:hAnsiTheme="majorHAnsi"/>
                <w:szCs w:val="20"/>
                <w:lang w:bidi="ne-NP"/>
              </w:rPr>
              <w:t>Knowledge of the communication means between basic units of living matter and the extracellular environment, and of the physical phenomena at the basis of living world</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933"/>
      </w:tblGrid>
      <w:tr w:rsidR="00D6498E" w:rsidRPr="008C0CCD" w:rsidTr="00404DD3">
        <w:tc>
          <w:tcPr>
            <w:tcW w:w="3978" w:type="dxa"/>
            <w:shd w:val="clear" w:color="auto" w:fill="F2F2F2" w:themeFill="background1" w:themeFillShade="F2"/>
            <w:vAlign w:val="center"/>
          </w:tcPr>
          <w:p w:rsidR="00D6498E" w:rsidRPr="008C0CCD" w:rsidRDefault="00D6498E" w:rsidP="009C0DB1">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5933" w:type="dxa"/>
          </w:tcPr>
          <w:p w:rsidR="00D6498E" w:rsidRPr="00A27206" w:rsidRDefault="00D6498E" w:rsidP="009C0DB1">
            <w:pPr>
              <w:spacing w:line="276" w:lineRule="auto"/>
              <w:rPr>
                <w:rFonts w:asciiTheme="majorHAnsi" w:hAnsiTheme="majorHAnsi"/>
                <w:szCs w:val="20"/>
                <w:lang w:val="en-US"/>
              </w:rPr>
            </w:pPr>
            <w:r w:rsidRPr="00A27206">
              <w:rPr>
                <w:rFonts w:asciiTheme="majorHAnsi" w:hAnsiTheme="majorHAnsi" w:cs="TimesNewRoman,Bold"/>
                <w:bCs/>
                <w:szCs w:val="20"/>
                <w:lang w:bidi="ne-NP"/>
              </w:rPr>
              <w:t>Video projecting equipment</w:t>
            </w:r>
          </w:p>
        </w:tc>
      </w:tr>
      <w:tr w:rsidR="00D6498E" w:rsidRPr="008C0CCD" w:rsidTr="00404DD3">
        <w:tc>
          <w:tcPr>
            <w:tcW w:w="3978" w:type="dxa"/>
            <w:shd w:val="clear" w:color="auto" w:fill="F2F2F2" w:themeFill="background1" w:themeFillShade="F2"/>
            <w:vAlign w:val="center"/>
          </w:tcPr>
          <w:p w:rsidR="00D6498E" w:rsidRPr="008C0CCD" w:rsidRDefault="00D6498E" w:rsidP="009C0DB1">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5933" w:type="dxa"/>
          </w:tcPr>
          <w:p w:rsidR="00D6498E" w:rsidRPr="00A27206" w:rsidRDefault="00D6498E" w:rsidP="009C0DB1">
            <w:pPr>
              <w:spacing w:line="276" w:lineRule="auto"/>
              <w:rPr>
                <w:rFonts w:asciiTheme="majorHAnsi" w:hAnsiTheme="majorHAnsi"/>
                <w:szCs w:val="20"/>
                <w:lang w:val="en-US"/>
              </w:rPr>
            </w:pPr>
            <w:r w:rsidRPr="00A27206">
              <w:rPr>
                <w:rFonts w:asciiTheme="majorHAnsi" w:hAnsiTheme="majorHAnsi"/>
                <w:szCs w:val="20"/>
                <w:lang w:val="en-US"/>
              </w:rPr>
              <w:t>Microscopes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D6498E"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9C0DB1" w:rsidRPr="00A27206" w:rsidRDefault="009C0DB1" w:rsidP="009C0DB1">
            <w:pPr>
              <w:rPr>
                <w:rFonts w:asciiTheme="majorHAnsi" w:hAnsiTheme="majorHAnsi"/>
                <w:color w:val="000000"/>
                <w:szCs w:val="20"/>
              </w:rPr>
            </w:pPr>
          </w:p>
          <w:p w:rsidR="009C0DB1" w:rsidRPr="00A27206" w:rsidRDefault="009C0DB1" w:rsidP="009C0DB1">
            <w:pPr>
              <w:rPr>
                <w:rFonts w:asciiTheme="majorHAnsi" w:hAnsiTheme="majorHAnsi"/>
                <w:color w:val="000000"/>
                <w:szCs w:val="20"/>
              </w:rPr>
            </w:pPr>
            <w:r w:rsidRPr="00A27206">
              <w:rPr>
                <w:rFonts w:asciiTheme="majorHAnsi" w:hAnsiTheme="majorHAnsi"/>
                <w:color w:val="000000"/>
                <w:szCs w:val="20"/>
              </w:rPr>
              <w:t>Formulation of hypothesis and key concepts in orde</w:t>
            </w:r>
            <w:r>
              <w:rPr>
                <w:rFonts w:asciiTheme="majorHAnsi" w:hAnsiTheme="majorHAnsi"/>
                <w:color w:val="000000"/>
                <w:szCs w:val="20"/>
              </w:rPr>
              <w:t>r to explain normal structures</w:t>
            </w:r>
            <w:r w:rsidRPr="00A27206">
              <w:rPr>
                <w:rFonts w:asciiTheme="majorHAnsi" w:hAnsiTheme="majorHAnsi"/>
                <w:color w:val="000000"/>
                <w:szCs w:val="20"/>
              </w:rPr>
              <w:t xml:space="preserve"> </w:t>
            </w:r>
          </w:p>
          <w:p w:rsidR="00A808E1" w:rsidRPr="00993891" w:rsidRDefault="00A808E1" w:rsidP="00A808E1">
            <w:pPr>
              <w:pStyle w:val="Default"/>
              <w:rPr>
                <w:rFonts w:asciiTheme="majorHAnsi" w:hAnsiTheme="majorHAnsi" w:cs="TimesNewRoman,Bold"/>
                <w:b/>
                <w:bCs/>
                <w:sz w:val="20"/>
                <w:szCs w:val="20"/>
                <w:lang w:val="ro-RO" w:bidi="ne-NP"/>
              </w:rPr>
            </w:pP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D6498E"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9C0DB1" w:rsidRPr="00A27206" w:rsidRDefault="009C0DB1" w:rsidP="009C0DB1">
            <w:pPr>
              <w:rPr>
                <w:rFonts w:asciiTheme="majorHAnsi" w:hAnsiTheme="majorHAnsi"/>
                <w:color w:val="000000"/>
                <w:szCs w:val="20"/>
              </w:rPr>
            </w:pPr>
          </w:p>
          <w:p w:rsidR="009C0DB1" w:rsidRPr="00A27206" w:rsidRDefault="009C0DB1" w:rsidP="009C0DB1">
            <w:pPr>
              <w:rPr>
                <w:rFonts w:asciiTheme="majorHAnsi" w:hAnsiTheme="majorHAnsi"/>
                <w:color w:val="000000"/>
                <w:szCs w:val="20"/>
              </w:rPr>
            </w:pPr>
            <w:r w:rsidRPr="00A27206">
              <w:rPr>
                <w:rFonts w:asciiTheme="majorHAnsi" w:hAnsiTheme="majorHAnsi"/>
                <w:color w:val="000000"/>
                <w:szCs w:val="20"/>
              </w:rPr>
              <w:t xml:space="preserve">Formulation of hypothesis and key concepts in order to explain syndromes /diseases </w:t>
            </w:r>
          </w:p>
          <w:p w:rsidR="00331357" w:rsidRPr="00993891" w:rsidRDefault="00331357" w:rsidP="00A808E1">
            <w:pPr>
              <w:pStyle w:val="Default"/>
              <w:rPr>
                <w:rFonts w:asciiTheme="majorHAnsi" w:hAnsiTheme="majorHAnsi" w:cs="TimesNewRoman,Bold"/>
                <w:b/>
                <w:bCs/>
                <w:sz w:val="20"/>
                <w:szCs w:val="20"/>
                <w:lang w:val="ro-RO" w:bidi="ne-NP"/>
              </w:rPr>
            </w:pPr>
          </w:p>
        </w:tc>
      </w:tr>
    </w:tbl>
    <w:p w:rsidR="00CF6B2D" w:rsidRPr="008C0CCD" w:rsidRDefault="00CF6B2D" w:rsidP="003C09FC">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572"/>
      </w:tblGrid>
      <w:tr w:rsidR="001E7598" w:rsidRPr="008C0CCD" w:rsidTr="001E7598">
        <w:tc>
          <w:tcPr>
            <w:tcW w:w="2339" w:type="dxa"/>
            <w:shd w:val="clear" w:color="auto" w:fill="F2F2F2" w:themeFill="background1" w:themeFillShade="F2"/>
            <w:vAlign w:val="center"/>
          </w:tcPr>
          <w:p w:rsidR="001E7598" w:rsidRPr="008C0CCD" w:rsidRDefault="001E7598" w:rsidP="009C0DB1">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572" w:type="dxa"/>
          </w:tcPr>
          <w:p w:rsidR="001E7598" w:rsidRPr="00A27206" w:rsidRDefault="001E7598" w:rsidP="009C0DB1">
            <w:pPr>
              <w:widowControl w:val="0"/>
              <w:autoSpaceDE w:val="0"/>
              <w:snapToGrid w:val="0"/>
              <w:spacing w:line="276" w:lineRule="auto"/>
              <w:ind w:right="62"/>
              <w:rPr>
                <w:rFonts w:asciiTheme="majorHAnsi" w:hAnsiTheme="majorHAnsi"/>
                <w:szCs w:val="20"/>
                <w:lang w:val="en-US"/>
              </w:rPr>
            </w:pPr>
            <w:r w:rsidRPr="00A27206">
              <w:rPr>
                <w:rFonts w:asciiTheme="majorHAnsi" w:hAnsiTheme="majorHAnsi"/>
                <w:szCs w:val="20"/>
              </w:rPr>
              <w:t>To make students accustomed to different body structures</w:t>
            </w:r>
          </w:p>
        </w:tc>
      </w:tr>
      <w:tr w:rsidR="001E7598" w:rsidRPr="008C0CCD" w:rsidTr="001E7598">
        <w:tc>
          <w:tcPr>
            <w:tcW w:w="2339" w:type="dxa"/>
            <w:shd w:val="clear" w:color="auto" w:fill="F2F2F2" w:themeFill="background1" w:themeFillShade="F2"/>
            <w:vAlign w:val="center"/>
          </w:tcPr>
          <w:p w:rsidR="001E7598" w:rsidRPr="008C0CCD" w:rsidRDefault="001E7598" w:rsidP="009C0DB1">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572" w:type="dxa"/>
          </w:tcPr>
          <w:p w:rsidR="001E7598" w:rsidRDefault="001E7598" w:rsidP="009C0DB1">
            <w:pPr>
              <w:spacing w:line="276" w:lineRule="auto"/>
              <w:rPr>
                <w:rFonts w:asciiTheme="majorHAnsi" w:hAnsiTheme="majorHAnsi"/>
                <w:szCs w:val="20"/>
              </w:rPr>
            </w:pPr>
            <w:r w:rsidRPr="00A27206">
              <w:rPr>
                <w:rFonts w:asciiTheme="majorHAnsi" w:hAnsiTheme="majorHAnsi"/>
                <w:szCs w:val="20"/>
              </w:rPr>
              <w:t>To make students accustomed to tiny different structures of the human body</w:t>
            </w:r>
          </w:p>
          <w:p w:rsidR="001E7598" w:rsidRPr="00A27206" w:rsidRDefault="001E7598" w:rsidP="001E7598">
            <w:pPr>
              <w:spacing w:line="276" w:lineRule="auto"/>
              <w:rPr>
                <w:rFonts w:asciiTheme="majorHAnsi" w:hAnsiTheme="majorHAnsi"/>
                <w:szCs w:val="20"/>
                <w:lang w:val="en-US"/>
              </w:rPr>
            </w:pPr>
            <w:r w:rsidRPr="001E7598">
              <w:rPr>
                <w:rFonts w:asciiTheme="majorHAnsi" w:hAnsiTheme="majorHAnsi"/>
                <w:szCs w:val="20"/>
                <w:lang w:val="en-US"/>
              </w:rPr>
              <w:t xml:space="preserve">Knowledge of the macroscopic and microscopic structure of the body's organs and systems, in order to understand in other disciplines the functioning of these structures </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4697"/>
        <w:gridCol w:w="3335"/>
        <w:gridCol w:w="1428"/>
      </w:tblGrid>
      <w:tr w:rsidR="00CF6B2D" w:rsidRPr="008C0CCD" w:rsidTr="00404DD3">
        <w:tc>
          <w:tcPr>
            <w:tcW w:w="5148"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3335"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Cell classification</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Tissue classification</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heart</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heart</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skeletal muscles</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skeletal muscles</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bones</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bones</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peripheral nervous system</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peripheral nervous system</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joints</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joints</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central nervous system</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8C0CCD" w:rsidTr="00404DD3">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46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central nervous system</w:t>
            </w:r>
          </w:p>
        </w:tc>
        <w:tc>
          <w:tcPr>
            <w:tcW w:w="3335" w:type="dxa"/>
            <w:shd w:val="clear" w:color="auto" w:fill="auto"/>
          </w:tcPr>
          <w:p w:rsidR="000579B8" w:rsidRPr="00A27206" w:rsidRDefault="000579B8" w:rsidP="000579B8">
            <w:pPr>
              <w:spacing w:line="276" w:lineRule="auto"/>
              <w:rPr>
                <w:rFonts w:asciiTheme="majorHAnsi" w:hAnsiTheme="majorHAnsi"/>
                <w:bCs/>
                <w:szCs w:val="20"/>
                <w:lang w:val="en-US"/>
              </w:rPr>
            </w:pPr>
            <w:r w:rsidRPr="00A27206">
              <w:rPr>
                <w:rFonts w:asciiTheme="majorHAnsi" w:hAnsiTheme="majorHAnsi"/>
                <w:bCs/>
                <w:szCs w:val="20"/>
                <w:lang w:val="en-US"/>
              </w:rPr>
              <w:t>Drawings. Interactive courses</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3797"/>
        <w:gridCol w:w="4235"/>
        <w:gridCol w:w="1428"/>
      </w:tblGrid>
      <w:tr w:rsidR="006B7D20" w:rsidRPr="00730232" w:rsidTr="003C09FC">
        <w:tc>
          <w:tcPr>
            <w:tcW w:w="4248"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970A1F"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4235"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Cell classification</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Tissue classification</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heart</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heart</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 xml:space="preserve">Drawings. Interactive lessons. Microscopy. </w:t>
            </w:r>
            <w:proofErr w:type="spellStart"/>
            <w:r>
              <w:rPr>
                <w:rFonts w:asciiTheme="majorHAnsi" w:hAnsiTheme="majorHAnsi"/>
                <w:bCs/>
                <w:szCs w:val="20"/>
                <w:lang w:val="en-US"/>
              </w:rPr>
              <w:t>Macroscopy</w:t>
            </w:r>
            <w:proofErr w:type="spellEnd"/>
            <w:r>
              <w:rPr>
                <w:rFonts w:asciiTheme="majorHAnsi" w:hAnsiTheme="majorHAnsi"/>
                <w:bCs/>
                <w:szCs w:val="20"/>
                <w:lang w:val="en-US"/>
              </w:rPr>
              <w:t>.</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5</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skeletal muscles</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skeletal muscles</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 xml:space="preserve">Drawings. Interactive lessons. Microscopy. </w:t>
            </w:r>
            <w:proofErr w:type="spellStart"/>
            <w:r>
              <w:rPr>
                <w:rFonts w:asciiTheme="majorHAnsi" w:hAnsiTheme="majorHAnsi"/>
                <w:bCs/>
                <w:szCs w:val="20"/>
                <w:lang w:val="en-US"/>
              </w:rPr>
              <w:t>Macroscopy</w:t>
            </w:r>
            <w:proofErr w:type="spellEnd"/>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bones</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bones</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 xml:space="preserve">Drawings. Interactive lessons. Microscopy. </w:t>
            </w:r>
            <w:proofErr w:type="spellStart"/>
            <w:r>
              <w:rPr>
                <w:rFonts w:asciiTheme="majorHAnsi" w:hAnsiTheme="majorHAnsi"/>
                <w:bCs/>
                <w:szCs w:val="20"/>
                <w:lang w:val="en-US"/>
              </w:rPr>
              <w:t>Macroscopy</w:t>
            </w:r>
            <w:proofErr w:type="spellEnd"/>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peripheral nervous system</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peripheral nervous system</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 xml:space="preserve">Drawings. Interactive lessons. Microscopy. </w:t>
            </w:r>
            <w:proofErr w:type="spellStart"/>
            <w:r>
              <w:rPr>
                <w:rFonts w:asciiTheme="majorHAnsi" w:hAnsiTheme="majorHAnsi"/>
                <w:bCs/>
                <w:szCs w:val="20"/>
                <w:lang w:val="en-US"/>
              </w:rPr>
              <w:t>Macroscopy</w:t>
            </w:r>
            <w:proofErr w:type="spellEnd"/>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joints</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joints</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 xml:space="preserve">Drawings. Interactive lessons. Microscopy. </w:t>
            </w:r>
            <w:proofErr w:type="spellStart"/>
            <w:r>
              <w:rPr>
                <w:rFonts w:asciiTheme="majorHAnsi" w:hAnsiTheme="majorHAnsi"/>
                <w:bCs/>
                <w:szCs w:val="20"/>
                <w:lang w:val="en-US"/>
              </w:rPr>
              <w:t>Macroscopy</w:t>
            </w:r>
            <w:proofErr w:type="spellEnd"/>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Histology of central nervous system</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Drawings. Interactive lessons. Microscopy.</w:t>
            </w:r>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r w:rsidR="000579B8" w:rsidRPr="00730232" w:rsidTr="003C09FC">
        <w:tc>
          <w:tcPr>
            <w:tcW w:w="451"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3797" w:type="dxa"/>
            <w:shd w:val="clear" w:color="auto" w:fill="auto"/>
            <w:vAlign w:val="center"/>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Pathology of central nervous system</w:t>
            </w:r>
          </w:p>
        </w:tc>
        <w:tc>
          <w:tcPr>
            <w:tcW w:w="4235" w:type="dxa"/>
            <w:shd w:val="clear" w:color="auto" w:fill="auto"/>
          </w:tcPr>
          <w:p w:rsidR="000579B8" w:rsidRPr="00730232" w:rsidRDefault="000579B8" w:rsidP="000579B8">
            <w:pPr>
              <w:autoSpaceDE w:val="0"/>
              <w:autoSpaceDN w:val="0"/>
              <w:adjustRightInd w:val="0"/>
              <w:rPr>
                <w:rFonts w:asciiTheme="majorHAnsi" w:hAnsiTheme="majorHAnsi" w:cs="TimesNewRoman,Bold"/>
                <w:bCs/>
                <w:szCs w:val="20"/>
                <w:lang w:bidi="ne-NP"/>
              </w:rPr>
            </w:pPr>
            <w:r>
              <w:rPr>
                <w:rFonts w:asciiTheme="majorHAnsi" w:hAnsiTheme="majorHAnsi"/>
                <w:bCs/>
                <w:szCs w:val="20"/>
                <w:lang w:val="en-US"/>
              </w:rPr>
              <w:t xml:space="preserve">Drawings. Interactive lessons. Microscopy. </w:t>
            </w:r>
            <w:proofErr w:type="spellStart"/>
            <w:r>
              <w:rPr>
                <w:rFonts w:asciiTheme="majorHAnsi" w:hAnsiTheme="majorHAnsi"/>
                <w:bCs/>
                <w:szCs w:val="20"/>
                <w:lang w:val="en-US"/>
              </w:rPr>
              <w:t>Macroscopy</w:t>
            </w:r>
            <w:proofErr w:type="spellEnd"/>
          </w:p>
        </w:tc>
        <w:tc>
          <w:tcPr>
            <w:tcW w:w="1428" w:type="dxa"/>
            <w:shd w:val="clear" w:color="auto" w:fill="auto"/>
          </w:tcPr>
          <w:p w:rsidR="000579B8" w:rsidRPr="00A27206" w:rsidRDefault="000579B8" w:rsidP="000579B8">
            <w:pPr>
              <w:spacing w:line="276" w:lineRule="auto"/>
              <w:rPr>
                <w:rFonts w:asciiTheme="majorHAnsi" w:hAnsiTheme="majorHAnsi"/>
                <w:bCs/>
                <w:szCs w:val="20"/>
                <w:lang w:val="en-US"/>
              </w:rPr>
            </w:pPr>
            <w:r>
              <w:rPr>
                <w:rFonts w:asciiTheme="majorHAnsi" w:hAnsiTheme="majorHAnsi"/>
                <w:bCs/>
                <w:szCs w:val="20"/>
                <w:lang w:val="en-US"/>
              </w:rPr>
              <w:t xml:space="preserve">1 </w:t>
            </w:r>
            <w:r w:rsidRPr="00A27206">
              <w:rPr>
                <w:rFonts w:asciiTheme="majorHAnsi" w:hAnsiTheme="majorHAnsi"/>
                <w:bCs/>
                <w:szCs w:val="20"/>
                <w:lang w:val="en-US"/>
              </w:rPr>
              <w:t>h</w:t>
            </w:r>
            <w:r>
              <w:rPr>
                <w:rFonts w:asciiTheme="majorHAnsi" w:hAnsiTheme="majorHAnsi"/>
                <w:bCs/>
                <w:szCs w:val="20"/>
                <w:lang w:val="en-US"/>
              </w:rPr>
              <w:t>our</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3C09FC"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3C09FC">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F57AE0" w:rsidRDefault="00F57AE0" w:rsidP="003C09FC">
            <w:pPr>
              <w:pStyle w:val="Heading1"/>
              <w:numPr>
                <w:ilvl w:val="0"/>
                <w:numId w:val="8"/>
              </w:numPr>
              <w:spacing w:before="0" w:line="240" w:lineRule="auto"/>
              <w:outlineLvl w:val="0"/>
              <w:rPr>
                <w:rFonts w:asciiTheme="majorHAnsi" w:hAnsiTheme="majorHAnsi"/>
                <w:b w:val="0"/>
                <w:bCs/>
                <w:sz w:val="20"/>
                <w:szCs w:val="20"/>
              </w:rPr>
            </w:pPr>
            <w:r>
              <w:rPr>
                <w:rFonts w:asciiTheme="majorHAnsi" w:hAnsiTheme="majorHAnsi"/>
                <w:b w:val="0"/>
                <w:bCs/>
                <w:sz w:val="20"/>
                <w:szCs w:val="20"/>
              </w:rPr>
              <w:t>C</w:t>
            </w:r>
            <w:r w:rsidRPr="00B40B93">
              <w:rPr>
                <w:rFonts w:asciiTheme="majorHAnsi" w:hAnsiTheme="majorHAnsi"/>
                <w:b w:val="0"/>
                <w:bCs/>
                <w:sz w:val="20"/>
                <w:szCs w:val="20"/>
              </w:rPr>
              <w:t xml:space="preserve">ourse materials and practical works posted on </w:t>
            </w:r>
            <w:r>
              <w:rPr>
                <w:rFonts w:asciiTheme="majorHAnsi" w:hAnsiTheme="majorHAnsi"/>
                <w:b w:val="0"/>
                <w:bCs/>
                <w:sz w:val="20"/>
                <w:szCs w:val="20"/>
              </w:rPr>
              <w:t>the e-learning platform of UMF I</w:t>
            </w:r>
            <w:r w:rsidRPr="00B40B93">
              <w:rPr>
                <w:rFonts w:asciiTheme="majorHAnsi" w:hAnsiTheme="majorHAnsi"/>
                <w:b w:val="0"/>
                <w:bCs/>
                <w:sz w:val="20"/>
                <w:szCs w:val="20"/>
              </w:rPr>
              <w:t>asi</w:t>
            </w:r>
          </w:p>
          <w:p w:rsidR="00830AAE" w:rsidRPr="00F57AE0" w:rsidRDefault="004F5666" w:rsidP="003C09FC">
            <w:pPr>
              <w:pStyle w:val="Heading1"/>
              <w:numPr>
                <w:ilvl w:val="0"/>
                <w:numId w:val="8"/>
              </w:numPr>
              <w:spacing w:before="0" w:line="240" w:lineRule="auto"/>
              <w:outlineLvl w:val="0"/>
              <w:rPr>
                <w:rFonts w:asciiTheme="majorHAnsi" w:hAnsiTheme="majorHAnsi"/>
                <w:b w:val="0"/>
                <w:bCs/>
                <w:sz w:val="20"/>
                <w:szCs w:val="20"/>
              </w:rPr>
            </w:pPr>
            <w:r w:rsidRPr="00F57AE0">
              <w:rPr>
                <w:rFonts w:asciiTheme="majorHAnsi" w:hAnsiTheme="majorHAnsi" w:cs="TimesNewRoman,Bold"/>
                <w:b w:val="0"/>
                <w:bCs/>
                <w:sz w:val="20"/>
                <w:szCs w:val="20"/>
                <w:lang w:bidi="ne-NP"/>
              </w:rPr>
              <w:t>Ovalle, W., Nahirney, P. Netter’s essential histology with correlated histopathology. Elsevier, 2021</w:t>
            </w:r>
          </w:p>
        </w:tc>
      </w:tr>
      <w:tr w:rsidR="000C7BDB" w:rsidTr="002326CD">
        <w:tc>
          <w:tcPr>
            <w:tcW w:w="10044" w:type="dxa"/>
          </w:tcPr>
          <w:p w:rsidR="00621BC4" w:rsidRDefault="001069AD" w:rsidP="003C09FC">
            <w:pPr>
              <w:pStyle w:val="ListParagraph"/>
              <w:numPr>
                <w:ilvl w:val="0"/>
                <w:numId w:val="8"/>
              </w:numPr>
              <w:autoSpaceDE w:val="0"/>
              <w:autoSpaceDN w:val="0"/>
              <w:adjustRightInd w:val="0"/>
              <w:spacing w:line="240" w:lineRule="auto"/>
              <w:rPr>
                <w:rFonts w:asciiTheme="majorHAnsi" w:hAnsiTheme="majorHAnsi" w:cs="TimesNewRoman,Bold"/>
                <w:bCs/>
                <w:szCs w:val="20"/>
                <w:lang w:bidi="ne-NP"/>
              </w:rPr>
            </w:pPr>
            <w:r w:rsidRPr="00621BC4">
              <w:rPr>
                <w:rFonts w:asciiTheme="majorHAnsi" w:hAnsiTheme="majorHAnsi" w:cs="TimesNewRoman,Bold"/>
                <w:bCs/>
                <w:szCs w:val="20"/>
                <w:lang w:bidi="ne-NP"/>
              </w:rPr>
              <w:t>Gartner, L. Textbook of Histology. Elsevier, 2021.</w:t>
            </w:r>
          </w:p>
          <w:p w:rsidR="00621BC4" w:rsidRPr="00621BC4" w:rsidRDefault="00621BC4" w:rsidP="003C09FC">
            <w:pPr>
              <w:pStyle w:val="ListParagraph"/>
              <w:numPr>
                <w:ilvl w:val="0"/>
                <w:numId w:val="8"/>
              </w:numPr>
              <w:autoSpaceDE w:val="0"/>
              <w:autoSpaceDN w:val="0"/>
              <w:adjustRightInd w:val="0"/>
              <w:spacing w:line="240" w:lineRule="auto"/>
              <w:rPr>
                <w:rFonts w:asciiTheme="majorHAnsi" w:hAnsiTheme="majorHAnsi" w:cs="TimesNewRoman,Bold"/>
                <w:bCs/>
                <w:szCs w:val="20"/>
                <w:lang w:bidi="ne-NP"/>
              </w:rPr>
            </w:pPr>
            <w:r w:rsidRPr="00621BC4">
              <w:rPr>
                <w:rFonts w:asciiTheme="majorHAnsi" w:hAnsiTheme="majorHAnsi" w:cs="TimesNewRoman,Bold"/>
                <w:bCs/>
                <w:color w:val="000000"/>
                <w:szCs w:val="20"/>
                <w:lang w:bidi="ne-NP"/>
              </w:rPr>
              <w:t>Covali, R. Practical lessons of Histology, Stef Publishing House, Iași, 2017</w:t>
            </w:r>
          </w:p>
          <w:p w:rsidR="00621BC4" w:rsidRDefault="001069AD" w:rsidP="003C09FC">
            <w:pPr>
              <w:pStyle w:val="ListParagraph"/>
              <w:numPr>
                <w:ilvl w:val="0"/>
                <w:numId w:val="8"/>
              </w:numPr>
              <w:autoSpaceDE w:val="0"/>
              <w:autoSpaceDN w:val="0"/>
              <w:adjustRightInd w:val="0"/>
              <w:spacing w:line="240" w:lineRule="auto"/>
              <w:rPr>
                <w:rFonts w:asciiTheme="majorHAnsi" w:hAnsiTheme="majorHAnsi" w:cs="TimesNewRoman,Bold"/>
                <w:bCs/>
                <w:szCs w:val="20"/>
                <w:lang w:bidi="ne-NP"/>
              </w:rPr>
            </w:pPr>
            <w:r w:rsidRPr="00621BC4">
              <w:rPr>
                <w:rFonts w:asciiTheme="majorHAnsi" w:hAnsiTheme="majorHAnsi" w:cs="TimesNewRoman,Bold"/>
                <w:bCs/>
                <w:szCs w:val="20"/>
                <w:lang w:bidi="ne-NP"/>
              </w:rPr>
              <w:t>Kumar, V., Abbas, A., Aster, J., Deyrup, A. Robbins &amp; Kotran basic pathology. Elsevier, 2023.</w:t>
            </w:r>
          </w:p>
          <w:p w:rsidR="00621BC4" w:rsidRDefault="001069AD" w:rsidP="003C09FC">
            <w:pPr>
              <w:pStyle w:val="ListParagraph"/>
              <w:numPr>
                <w:ilvl w:val="0"/>
                <w:numId w:val="8"/>
              </w:numPr>
              <w:autoSpaceDE w:val="0"/>
              <w:autoSpaceDN w:val="0"/>
              <w:adjustRightInd w:val="0"/>
              <w:spacing w:line="240" w:lineRule="auto"/>
              <w:rPr>
                <w:rFonts w:asciiTheme="majorHAnsi" w:hAnsiTheme="majorHAnsi" w:cs="TimesNewRoman,Bold"/>
                <w:bCs/>
                <w:szCs w:val="20"/>
                <w:lang w:bidi="ne-NP"/>
              </w:rPr>
            </w:pPr>
            <w:r w:rsidRPr="00621BC4">
              <w:rPr>
                <w:rFonts w:asciiTheme="majorHAnsi" w:hAnsiTheme="majorHAnsi" w:cs="TimesNewRoman,Bold"/>
                <w:bCs/>
                <w:szCs w:val="20"/>
                <w:lang w:bidi="ne-NP"/>
              </w:rPr>
              <w:t xml:space="preserve">Klatt, E., Kumar, V. Robbins &amp; Kotran review of pathology. Elsevier, 2022 </w:t>
            </w:r>
          </w:p>
          <w:p w:rsidR="00CA0BDD" w:rsidRPr="00621BC4" w:rsidRDefault="00BD2264" w:rsidP="003C09FC">
            <w:pPr>
              <w:pStyle w:val="ListParagraph"/>
              <w:numPr>
                <w:ilvl w:val="0"/>
                <w:numId w:val="8"/>
              </w:numPr>
              <w:autoSpaceDE w:val="0"/>
              <w:autoSpaceDN w:val="0"/>
              <w:adjustRightInd w:val="0"/>
              <w:spacing w:line="240" w:lineRule="auto"/>
              <w:rPr>
                <w:rFonts w:asciiTheme="majorHAnsi" w:hAnsiTheme="majorHAnsi" w:cs="TimesNewRoman,Bold"/>
                <w:bCs/>
                <w:szCs w:val="20"/>
                <w:lang w:bidi="ne-NP"/>
              </w:rPr>
            </w:pPr>
            <w:r w:rsidRPr="00621BC4">
              <w:rPr>
                <w:rFonts w:asciiTheme="majorHAnsi" w:hAnsiTheme="majorHAnsi" w:cs="TimesNewRoman,Bold"/>
                <w:bCs/>
                <w:szCs w:val="20"/>
                <w:lang w:bidi="ne-NP"/>
              </w:rPr>
              <w:t>Nielsen, G.P., Rosenburg, A. Diagnostic pathology: bone. Elsevier, 2022</w:t>
            </w:r>
          </w:p>
        </w:tc>
      </w:tr>
    </w:tbl>
    <w:p w:rsidR="00240907" w:rsidRPr="00D750EE" w:rsidRDefault="00240907" w:rsidP="003C09FC">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3C09FC">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CA0BDD" w:rsidRPr="00A27206" w:rsidRDefault="000579B8" w:rsidP="003C09FC">
            <w:pPr>
              <w:spacing w:line="240" w:lineRule="auto"/>
              <w:rPr>
                <w:rFonts w:asciiTheme="majorHAnsi" w:hAnsiTheme="majorHAnsi"/>
                <w:szCs w:val="20"/>
              </w:rPr>
            </w:pPr>
            <w:r w:rsidRPr="000579B8">
              <w:rPr>
                <w:rFonts w:asciiTheme="majorHAnsi" w:hAnsiTheme="majorHAnsi"/>
                <w:bCs/>
                <w:szCs w:val="20"/>
                <w:lang w:val="it-IT"/>
              </w:rPr>
              <w:t>1</w:t>
            </w:r>
            <w:r>
              <w:rPr>
                <w:rFonts w:asciiTheme="majorHAnsi" w:hAnsiTheme="majorHAnsi"/>
                <w:bCs/>
                <w:szCs w:val="20"/>
                <w:lang w:val="it-IT"/>
              </w:rPr>
              <w:t>.</w:t>
            </w:r>
            <w:r w:rsidR="00CA0BDD" w:rsidRPr="00A27206">
              <w:rPr>
                <w:rFonts w:asciiTheme="majorHAnsi" w:hAnsiTheme="majorHAnsi"/>
                <w:szCs w:val="20"/>
              </w:rPr>
              <w:t xml:space="preserve"> Covali</w:t>
            </w:r>
            <w:r w:rsidR="00CA0BDD">
              <w:rPr>
                <w:rFonts w:asciiTheme="majorHAnsi" w:hAnsiTheme="majorHAnsi"/>
                <w:szCs w:val="20"/>
              </w:rPr>
              <w:t>,</w:t>
            </w:r>
            <w:r w:rsidR="00CA0BDD" w:rsidRPr="00A27206">
              <w:rPr>
                <w:rFonts w:asciiTheme="majorHAnsi" w:hAnsiTheme="majorHAnsi"/>
                <w:szCs w:val="20"/>
              </w:rPr>
              <w:t xml:space="preserve"> R</w:t>
            </w:r>
            <w:r w:rsidR="00CA0BDD">
              <w:rPr>
                <w:rFonts w:asciiTheme="majorHAnsi" w:hAnsiTheme="majorHAnsi"/>
                <w:szCs w:val="20"/>
              </w:rPr>
              <w:t>.</w:t>
            </w:r>
            <w:r w:rsidR="00CA0BDD" w:rsidRPr="00A27206">
              <w:rPr>
                <w:rFonts w:asciiTheme="majorHAnsi" w:hAnsiTheme="majorHAnsi"/>
                <w:szCs w:val="20"/>
              </w:rPr>
              <w:t xml:space="preserve"> Challenging Histology Questions, Stef Publishing House, Iaşi</w:t>
            </w:r>
            <w:r w:rsidR="00CA0BDD">
              <w:rPr>
                <w:rFonts w:asciiTheme="majorHAnsi" w:hAnsiTheme="majorHAnsi"/>
                <w:szCs w:val="20"/>
              </w:rPr>
              <w:t>, 2007</w:t>
            </w:r>
          </w:p>
          <w:p w:rsidR="00CC6649" w:rsidRDefault="00621BC4" w:rsidP="003C09FC">
            <w:pPr>
              <w:spacing w:line="240" w:lineRule="auto"/>
              <w:rPr>
                <w:rFonts w:asciiTheme="majorHAnsi" w:hAnsiTheme="majorHAnsi" w:cs="TimesNewRoman,Bold"/>
                <w:bCs/>
                <w:color w:val="000000"/>
                <w:szCs w:val="20"/>
                <w:lang w:bidi="ne-NP"/>
              </w:rPr>
            </w:pPr>
            <w:r>
              <w:rPr>
                <w:rFonts w:asciiTheme="majorHAnsi" w:hAnsiTheme="majorHAnsi" w:cs="TimesNewRoman,Bold"/>
                <w:bCs/>
                <w:color w:val="000000"/>
                <w:szCs w:val="20"/>
                <w:lang w:bidi="ne-NP"/>
              </w:rPr>
              <w:t xml:space="preserve">2. </w:t>
            </w:r>
            <w:r w:rsidR="00CC6649">
              <w:rPr>
                <w:rFonts w:asciiTheme="majorHAnsi" w:hAnsiTheme="majorHAnsi" w:cs="TimesNewRoman,Bold"/>
                <w:bCs/>
                <w:color w:val="000000"/>
                <w:szCs w:val="20"/>
                <w:lang w:bidi="ne-NP"/>
              </w:rPr>
              <w:t>Dubowitz, V., Sewry, C., Oldfors , A. Muscle biopsy, a practical approach. Elsevier, 2021.</w:t>
            </w:r>
          </w:p>
          <w:p w:rsidR="00830AAE" w:rsidRDefault="00621BC4" w:rsidP="003C09FC">
            <w:pPr>
              <w:spacing w:line="240" w:lineRule="auto"/>
              <w:rPr>
                <w:rFonts w:asciiTheme="majorHAnsi" w:hAnsiTheme="majorHAnsi" w:cs="Arial"/>
                <w:color w:val="000000"/>
                <w:szCs w:val="20"/>
              </w:rPr>
            </w:pPr>
            <w:r>
              <w:rPr>
                <w:rFonts w:asciiTheme="majorHAnsi" w:hAnsiTheme="majorHAnsi" w:cs="TimesNewRoman,Bold"/>
                <w:bCs/>
                <w:color w:val="000000"/>
                <w:szCs w:val="20"/>
                <w:lang w:bidi="ne-NP"/>
              </w:rPr>
              <w:t>3</w:t>
            </w:r>
            <w:r w:rsidR="00CA0BDD" w:rsidRPr="00CC6649">
              <w:rPr>
                <w:rFonts w:asciiTheme="majorHAnsi" w:hAnsiTheme="majorHAnsi" w:cs="TimesNewRoman,Bold"/>
                <w:bCs/>
                <w:color w:val="000000"/>
                <w:szCs w:val="20"/>
                <w:lang w:bidi="ne-NP"/>
              </w:rPr>
              <w:t>.</w:t>
            </w:r>
            <w:r>
              <w:rPr>
                <w:rFonts w:asciiTheme="majorHAnsi" w:hAnsiTheme="majorHAnsi" w:cs="TimesNewRoman,Bold"/>
                <w:bCs/>
                <w:color w:val="000000"/>
                <w:szCs w:val="20"/>
                <w:lang w:bidi="ne-NP"/>
              </w:rPr>
              <w:t xml:space="preserve"> </w:t>
            </w:r>
            <w:r w:rsidR="00CC6649" w:rsidRPr="00CC6649">
              <w:rPr>
                <w:rFonts w:asciiTheme="majorHAnsi" w:hAnsiTheme="majorHAnsi" w:cs="TimesNewRoman,Bold"/>
                <w:bCs/>
                <w:color w:val="000000"/>
                <w:szCs w:val="20"/>
                <w:lang w:bidi="ne-NP"/>
              </w:rPr>
              <w:t xml:space="preserve">Goodman, C., Fuller, K. </w:t>
            </w:r>
            <w:r w:rsidR="00CC6649" w:rsidRPr="00CC6649">
              <w:rPr>
                <w:rFonts w:asciiTheme="majorHAnsi" w:hAnsiTheme="majorHAnsi" w:cs="Arial"/>
                <w:color w:val="000000"/>
                <w:szCs w:val="20"/>
              </w:rPr>
              <w:t>Goodman and Fuller’s Pathology, Implications for the Physical Therapist</w:t>
            </w:r>
            <w:r w:rsidR="00CC6649">
              <w:rPr>
                <w:rFonts w:asciiTheme="majorHAnsi" w:hAnsiTheme="majorHAnsi" w:cs="Arial"/>
                <w:color w:val="000000"/>
                <w:szCs w:val="20"/>
              </w:rPr>
              <w:t>, Elsevier, 2021.</w:t>
            </w:r>
          </w:p>
          <w:p w:rsidR="003C09FC" w:rsidRPr="00F57AE0" w:rsidRDefault="003C09FC" w:rsidP="003C09FC">
            <w:pPr>
              <w:spacing w:line="240" w:lineRule="auto"/>
              <w:rPr>
                <w:rFonts w:asciiTheme="majorHAnsi" w:hAnsiTheme="majorHAnsi" w:cs="Arial"/>
                <w:b/>
                <w:color w:val="000000"/>
                <w:szCs w:val="20"/>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3C09F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3C09F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3C09F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3C09FC">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3C09F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3C09FC">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3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3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3C09F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3C09FC">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3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3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3C09F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3C09FC">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3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3C09FC" w:rsidP="003C09F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study</w:t>
            </w:r>
            <w:r w:rsidR="00EF00DF" w:rsidRPr="00EF00DF">
              <w:rPr>
                <w:rFonts w:asciiTheme="majorHAnsi" w:hAnsiTheme="majorHAnsi" w:cs="TimesNewRoman,Bold"/>
                <w:bCs/>
                <w:szCs w:val="20"/>
                <w:lang w:bidi="ne-NP"/>
              </w:rPr>
              <w:t xml:space="preserve">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3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3C09F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3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925F6D" w:rsidRPr="00925F6D" w:rsidRDefault="00925F6D" w:rsidP="003C09FC">
            <w:pPr>
              <w:pStyle w:val="ListParagraph"/>
              <w:numPr>
                <w:ilvl w:val="0"/>
                <w:numId w:val="6"/>
              </w:numPr>
              <w:spacing w:line="240" w:lineRule="auto"/>
              <w:jc w:val="both"/>
              <w:rPr>
                <w:rFonts w:asciiTheme="majorHAnsi" w:hAnsiTheme="majorHAnsi"/>
                <w:bCs/>
                <w:szCs w:val="20"/>
                <w:lang w:val="en-US"/>
              </w:rPr>
            </w:pPr>
            <w:r w:rsidRPr="00925F6D">
              <w:rPr>
                <w:rFonts w:asciiTheme="majorHAnsi" w:hAnsiTheme="majorHAnsi"/>
                <w:bCs/>
                <w:szCs w:val="20"/>
                <w:lang w:val="en-US"/>
              </w:rPr>
              <w:t>Identification of the microscopic specimen: organ, tissue, cells</w:t>
            </w:r>
          </w:p>
          <w:p w:rsidR="00E65D16" w:rsidRPr="001E7598" w:rsidRDefault="00925F6D" w:rsidP="003C09FC">
            <w:pPr>
              <w:pStyle w:val="ListParagraph"/>
              <w:numPr>
                <w:ilvl w:val="0"/>
                <w:numId w:val="6"/>
              </w:numPr>
              <w:autoSpaceDE w:val="0"/>
              <w:autoSpaceDN w:val="0"/>
              <w:adjustRightInd w:val="0"/>
              <w:spacing w:line="240" w:lineRule="auto"/>
              <w:jc w:val="both"/>
              <w:rPr>
                <w:rFonts w:asciiTheme="majorHAnsi" w:hAnsiTheme="majorHAnsi" w:cs="TimesNewRoman"/>
                <w:szCs w:val="20"/>
                <w:lang w:bidi="ne-NP"/>
              </w:rPr>
            </w:pPr>
            <w:r w:rsidRPr="00925F6D">
              <w:rPr>
                <w:rFonts w:asciiTheme="majorHAnsi" w:hAnsiTheme="majorHAnsi"/>
                <w:bCs/>
                <w:szCs w:val="20"/>
                <w:lang w:val="en-US"/>
              </w:rPr>
              <w:t>Identification of the disease of the organ, tissue, cells</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A8394E"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7F47E8">
              <w:rPr>
                <w:rFonts w:asciiTheme="majorHAnsi" w:hAnsiTheme="majorHAnsi" w:cs="TimesNewRoman"/>
                <w:szCs w:val="20"/>
                <w:lang w:bidi="ne-NP"/>
              </w:rPr>
              <w:t>.2024</w:t>
            </w:r>
          </w:p>
        </w:tc>
        <w:tc>
          <w:tcPr>
            <w:tcW w:w="3870" w:type="dxa"/>
          </w:tcPr>
          <w:p w:rsidR="00D6498E" w:rsidRDefault="00D6498E" w:rsidP="0099660A">
            <w:pPr>
              <w:jc w:val="center"/>
              <w:rPr>
                <w:bCs/>
                <w:szCs w:val="20"/>
                <w:lang w:val="en-US"/>
              </w:rPr>
            </w:pPr>
            <w:r w:rsidRPr="00D6498E">
              <w:rPr>
                <w:rFonts w:asciiTheme="majorHAnsi" w:hAnsiTheme="majorHAnsi"/>
              </w:rPr>
              <w:fldChar w:fldCharType="begin"/>
            </w:r>
            <w:r w:rsidRPr="00D6498E">
              <w:rPr>
                <w:rFonts w:asciiTheme="majorHAnsi" w:hAnsiTheme="majorHAnsi"/>
              </w:rPr>
              <w:instrText xml:space="preserve"> MERGEFIELD "Titular_curs" </w:instrText>
            </w:r>
            <w:r w:rsidRPr="00D6498E">
              <w:rPr>
                <w:rFonts w:asciiTheme="majorHAnsi" w:hAnsiTheme="majorHAnsi"/>
              </w:rPr>
              <w:fldChar w:fldCharType="separate"/>
            </w:r>
            <w:r w:rsidRPr="00D6498E">
              <w:rPr>
                <w:bCs/>
                <w:szCs w:val="20"/>
                <w:lang w:val="en-US"/>
              </w:rPr>
              <w:t xml:space="preserve">Lecturer Roxana Covali, </w:t>
            </w:r>
            <w:r w:rsidR="0099660A">
              <w:rPr>
                <w:bCs/>
                <w:szCs w:val="20"/>
                <w:lang w:val="en-US"/>
              </w:rPr>
              <w:t xml:space="preserve">MD, </w:t>
            </w:r>
            <w:r w:rsidRPr="00D6498E">
              <w:rPr>
                <w:bCs/>
                <w:szCs w:val="20"/>
                <w:lang w:val="en-US"/>
              </w:rPr>
              <w:t>PhD</w:t>
            </w:r>
          </w:p>
          <w:p w:rsidR="00D6498E" w:rsidRDefault="00D6498E" w:rsidP="0099660A">
            <w:pPr>
              <w:jc w:val="center"/>
              <w:rPr>
                <w:bCs/>
                <w:szCs w:val="20"/>
                <w:lang w:val="en-US"/>
              </w:rPr>
            </w:pPr>
          </w:p>
          <w:p w:rsidR="00D6498E" w:rsidRDefault="00D6498E" w:rsidP="0099660A">
            <w:pPr>
              <w:jc w:val="center"/>
              <w:rPr>
                <w:bCs/>
                <w:szCs w:val="20"/>
                <w:lang w:val="en-US"/>
              </w:rPr>
            </w:pPr>
          </w:p>
          <w:p w:rsidR="00D6498E" w:rsidRPr="00D6498E" w:rsidRDefault="00D6498E" w:rsidP="0099660A">
            <w:pPr>
              <w:jc w:val="center"/>
              <w:rPr>
                <w:bCs/>
                <w:szCs w:val="20"/>
                <w:lang w:val="en-US"/>
              </w:rPr>
            </w:pPr>
          </w:p>
          <w:p w:rsidR="00E951C6" w:rsidRPr="00D6498E" w:rsidRDefault="00D6498E" w:rsidP="0099660A">
            <w:pPr>
              <w:autoSpaceDE w:val="0"/>
              <w:autoSpaceDN w:val="0"/>
              <w:adjustRightInd w:val="0"/>
              <w:jc w:val="center"/>
              <w:rPr>
                <w:rFonts w:asciiTheme="majorHAnsi" w:hAnsiTheme="majorHAnsi" w:cs="TimesNewRoman"/>
                <w:szCs w:val="20"/>
                <w:lang w:bidi="ne-NP"/>
              </w:rPr>
            </w:pPr>
            <w:r w:rsidRPr="00D6498E">
              <w:rPr>
                <w:bCs/>
                <w:szCs w:val="20"/>
                <w:lang w:val="en-US"/>
              </w:rPr>
              <w:t>Lecturer</w:t>
            </w:r>
            <w:r w:rsidRPr="00D6498E">
              <w:rPr>
                <w:rFonts w:asciiTheme="majorHAnsi" w:hAnsiTheme="majorHAnsi"/>
                <w:noProof/>
              </w:rPr>
              <w:t xml:space="preserve"> Laura Adriana Rîșcanu</w:t>
            </w:r>
            <w:r w:rsidRPr="00D6498E">
              <w:rPr>
                <w:rFonts w:asciiTheme="majorHAnsi" w:hAnsiTheme="majorHAnsi"/>
              </w:rPr>
              <w:fldChar w:fldCharType="end"/>
            </w:r>
            <w:r w:rsidRPr="00D6498E">
              <w:rPr>
                <w:rFonts w:asciiTheme="majorHAnsi" w:hAnsiTheme="majorHAnsi"/>
              </w:rPr>
              <w:t xml:space="preserve">, </w:t>
            </w:r>
            <w:r w:rsidR="0099660A">
              <w:rPr>
                <w:rFonts w:asciiTheme="majorHAnsi" w:hAnsiTheme="majorHAnsi"/>
              </w:rPr>
              <w:t xml:space="preserve">MD, </w:t>
            </w:r>
            <w:r w:rsidRPr="00D6498E">
              <w:rPr>
                <w:rFonts w:asciiTheme="majorHAnsi" w:hAnsiTheme="majorHAnsi"/>
              </w:rPr>
              <w:t>PhD</w:t>
            </w:r>
          </w:p>
        </w:tc>
        <w:tc>
          <w:tcPr>
            <w:tcW w:w="4176" w:type="dxa"/>
          </w:tcPr>
          <w:p w:rsidR="00D6498E" w:rsidRDefault="00D6498E" w:rsidP="00D6498E">
            <w:pPr>
              <w:rPr>
                <w:bCs/>
                <w:szCs w:val="20"/>
                <w:lang w:val="en-US"/>
              </w:rPr>
            </w:pPr>
            <w:r w:rsidRPr="00D6498E">
              <w:rPr>
                <w:rFonts w:asciiTheme="majorHAnsi" w:hAnsiTheme="majorHAnsi"/>
              </w:rPr>
              <w:fldChar w:fldCharType="begin"/>
            </w:r>
            <w:r w:rsidRPr="00D6498E">
              <w:rPr>
                <w:rFonts w:asciiTheme="majorHAnsi" w:hAnsiTheme="majorHAnsi"/>
              </w:rPr>
              <w:instrText xml:space="preserve"> MERGEFIELD "Titular_curs" </w:instrText>
            </w:r>
            <w:r w:rsidRPr="00D6498E">
              <w:rPr>
                <w:rFonts w:asciiTheme="majorHAnsi" w:hAnsiTheme="majorHAnsi"/>
              </w:rPr>
              <w:fldChar w:fldCharType="separate"/>
            </w:r>
            <w:r w:rsidRPr="00D6498E">
              <w:rPr>
                <w:bCs/>
                <w:szCs w:val="20"/>
                <w:lang w:val="en-US"/>
              </w:rPr>
              <w:t>Lecturer Roxana Covali,</w:t>
            </w:r>
            <w:r w:rsidR="0099660A">
              <w:rPr>
                <w:bCs/>
                <w:szCs w:val="20"/>
                <w:lang w:val="en-US"/>
              </w:rPr>
              <w:t xml:space="preserve"> MD,</w:t>
            </w:r>
            <w:r w:rsidRPr="00D6498E">
              <w:rPr>
                <w:bCs/>
                <w:szCs w:val="20"/>
                <w:lang w:val="en-US"/>
              </w:rPr>
              <w:t xml:space="preserve"> PhD</w:t>
            </w:r>
          </w:p>
          <w:p w:rsidR="00D6498E" w:rsidRDefault="00D6498E" w:rsidP="00D6498E">
            <w:pPr>
              <w:rPr>
                <w:bCs/>
                <w:szCs w:val="20"/>
                <w:lang w:val="en-US"/>
              </w:rPr>
            </w:pPr>
          </w:p>
          <w:p w:rsidR="00D6498E" w:rsidRDefault="00D6498E" w:rsidP="00D6498E">
            <w:pPr>
              <w:rPr>
                <w:bCs/>
                <w:szCs w:val="20"/>
                <w:lang w:val="en-US"/>
              </w:rPr>
            </w:pPr>
          </w:p>
          <w:p w:rsidR="00D6498E" w:rsidRPr="00D6498E" w:rsidRDefault="00D6498E" w:rsidP="00D6498E">
            <w:pPr>
              <w:rPr>
                <w:bCs/>
                <w:szCs w:val="20"/>
                <w:lang w:val="en-US"/>
              </w:rPr>
            </w:pPr>
          </w:p>
          <w:p w:rsidR="001C6702" w:rsidRPr="00D6498E" w:rsidRDefault="00D6498E" w:rsidP="00D6498E">
            <w:pPr>
              <w:autoSpaceDE w:val="0"/>
              <w:autoSpaceDN w:val="0"/>
              <w:adjustRightInd w:val="0"/>
              <w:rPr>
                <w:rFonts w:asciiTheme="majorHAnsi" w:hAnsiTheme="majorHAnsi" w:cs="TimesNewRoman"/>
                <w:szCs w:val="20"/>
                <w:lang w:bidi="ne-NP"/>
              </w:rPr>
            </w:pPr>
            <w:r w:rsidRPr="00D6498E">
              <w:rPr>
                <w:bCs/>
                <w:szCs w:val="20"/>
                <w:lang w:val="en-US"/>
              </w:rPr>
              <w:t>Lecturer</w:t>
            </w:r>
            <w:r w:rsidRPr="00D6498E">
              <w:rPr>
                <w:rFonts w:asciiTheme="majorHAnsi" w:hAnsiTheme="majorHAnsi"/>
                <w:noProof/>
              </w:rPr>
              <w:t xml:space="preserve"> Laura Adriana Rîșcanu</w:t>
            </w:r>
            <w:r w:rsidRPr="00D6498E">
              <w:rPr>
                <w:rFonts w:asciiTheme="majorHAnsi" w:hAnsiTheme="majorHAnsi"/>
              </w:rPr>
              <w:fldChar w:fldCharType="end"/>
            </w:r>
            <w:r w:rsidRPr="00D6498E">
              <w:rPr>
                <w:rFonts w:asciiTheme="majorHAnsi" w:hAnsiTheme="majorHAnsi"/>
              </w:rPr>
              <w:t xml:space="preserve">, </w:t>
            </w:r>
            <w:r w:rsidR="0099660A">
              <w:rPr>
                <w:rFonts w:asciiTheme="majorHAnsi" w:hAnsiTheme="majorHAnsi"/>
              </w:rPr>
              <w:t xml:space="preserve">MD, </w:t>
            </w:r>
            <w:r w:rsidRPr="00D6498E">
              <w:rPr>
                <w:rFonts w:asciiTheme="majorHAnsi" w:hAnsiTheme="majorHAnsi"/>
              </w:rPr>
              <w:t>PhD</w:t>
            </w:r>
          </w:p>
        </w:tc>
      </w:tr>
    </w:tbl>
    <w:p w:rsidR="000C7BDB" w:rsidRDefault="00D6498E"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D6498E"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0C7BDB" w:rsidP="000C7BDB">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7F47E8"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A8394E">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5013D1"/>
        </w:tc>
        <w:tc>
          <w:tcPr>
            <w:tcW w:w="4549" w:type="dxa"/>
          </w:tcPr>
          <w:p w:rsidR="00D6498E" w:rsidRDefault="00D6498E" w:rsidP="0099660A">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xml:space="preserve">, </w:t>
            </w:r>
            <w:r w:rsidR="0099660A">
              <w:rPr>
                <w:rFonts w:asciiTheme="minorHAnsi" w:hAnsiTheme="minorHAnsi" w:cs="Times New Roman"/>
                <w:szCs w:val="20"/>
                <w:lang w:val="en-US"/>
              </w:rPr>
              <w:t>MD, Ph</w:t>
            </w:r>
            <w:r>
              <w:rPr>
                <w:rFonts w:asciiTheme="minorHAnsi" w:hAnsiTheme="minorHAnsi" w:cs="Times New Roman"/>
                <w:szCs w:val="20"/>
                <w:lang w:val="en-US"/>
              </w:rPr>
              <w:t>D</w:t>
            </w:r>
          </w:p>
          <w:p w:rsidR="000C7BDB" w:rsidRDefault="000C7BDB" w:rsidP="0099660A">
            <w:pPr>
              <w:autoSpaceDE w:val="0"/>
              <w:autoSpaceDN w:val="0"/>
              <w:adjustRightInd w:val="0"/>
              <w:jc w:val="center"/>
              <w:rPr>
                <w:rFonts w:asciiTheme="majorHAnsi" w:hAnsiTheme="majorHAnsi" w:cs="TimesNewRoman"/>
                <w:szCs w:val="20"/>
                <w:lang w:bidi="ne-NP"/>
              </w:rPr>
            </w:pPr>
            <w:bookmarkStart w:id="0" w:name="_GoBack"/>
            <w:bookmarkEnd w:id="0"/>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D1" w:rsidRDefault="005D3FD1" w:rsidP="003620AC">
      <w:pPr>
        <w:spacing w:line="240" w:lineRule="auto"/>
      </w:pPr>
      <w:r>
        <w:separator/>
      </w:r>
    </w:p>
  </w:endnote>
  <w:endnote w:type="continuationSeparator" w:id="0">
    <w:p w:rsidR="005D3FD1" w:rsidRDefault="005D3FD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87845">
                            <w:rPr>
                              <w:noProof/>
                              <w:color w:val="7F7F7F" w:themeColor="text1" w:themeTint="80"/>
                            </w:rPr>
                            <w:t>4</w:t>
                          </w:r>
                          <w:r w:rsidRPr="00A314B1">
                            <w:rPr>
                              <w:color w:val="7F7F7F" w:themeColor="text1" w:themeTint="80"/>
                            </w:rPr>
                            <w:fldChar w:fldCharType="end"/>
                          </w:r>
                          <w:r>
                            <w:t xml:space="preserve"> din </w:t>
                          </w:r>
                          <w:r w:rsidR="005D3FD1">
                            <w:fldChar w:fldCharType="begin"/>
                          </w:r>
                          <w:r w:rsidR="005D3FD1">
                            <w:instrText xml:space="preserve"> NUMPAGES   \* MERGEFORMAT </w:instrText>
                          </w:r>
                          <w:r w:rsidR="005D3FD1">
                            <w:fldChar w:fldCharType="separate"/>
                          </w:r>
                          <w:r w:rsidR="00587845">
                            <w:rPr>
                              <w:noProof/>
                            </w:rPr>
                            <w:t>4</w:t>
                          </w:r>
                          <w:r w:rsidR="005D3FD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87845">
                      <w:rPr>
                        <w:noProof/>
                        <w:color w:val="7F7F7F" w:themeColor="text1" w:themeTint="80"/>
                      </w:rPr>
                      <w:t>4</w:t>
                    </w:r>
                    <w:r w:rsidRPr="00A314B1">
                      <w:rPr>
                        <w:color w:val="7F7F7F" w:themeColor="text1" w:themeTint="80"/>
                      </w:rPr>
                      <w:fldChar w:fldCharType="end"/>
                    </w:r>
                    <w:r>
                      <w:t xml:space="preserve"> din </w:t>
                    </w:r>
                    <w:r w:rsidR="005D3FD1">
                      <w:fldChar w:fldCharType="begin"/>
                    </w:r>
                    <w:r w:rsidR="005D3FD1">
                      <w:instrText xml:space="preserve"> NUMPAGES   \* MERGEFORMAT </w:instrText>
                    </w:r>
                    <w:r w:rsidR="005D3FD1">
                      <w:fldChar w:fldCharType="separate"/>
                    </w:r>
                    <w:r w:rsidR="00587845">
                      <w:rPr>
                        <w:noProof/>
                      </w:rPr>
                      <w:t>4</w:t>
                    </w:r>
                    <w:r w:rsidR="005D3FD1">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736347"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8245D">
                            <w:rPr>
                              <w:noProof/>
                              <w:color w:val="7F7F7F" w:themeColor="text1" w:themeTint="80"/>
                            </w:rPr>
                            <w:t>1</w:t>
                          </w:r>
                          <w:r w:rsidRPr="00A314B1">
                            <w:rPr>
                              <w:color w:val="7F7F7F" w:themeColor="text1" w:themeTint="80"/>
                            </w:rPr>
                            <w:fldChar w:fldCharType="end"/>
                          </w:r>
                          <w:r>
                            <w:t xml:space="preserve"> din </w:t>
                          </w:r>
                          <w:r w:rsidR="005D3FD1">
                            <w:fldChar w:fldCharType="begin"/>
                          </w:r>
                          <w:r w:rsidR="005D3FD1">
                            <w:instrText xml:space="preserve"> NUMPAGES   \* MERGEFORMAT </w:instrText>
                          </w:r>
                          <w:r w:rsidR="005D3FD1">
                            <w:fldChar w:fldCharType="separate"/>
                          </w:r>
                          <w:r w:rsidR="0098245D">
                            <w:rPr>
                              <w:noProof/>
                            </w:rPr>
                            <w:t>1</w:t>
                          </w:r>
                          <w:r w:rsidR="005D3FD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8245D">
                      <w:rPr>
                        <w:noProof/>
                        <w:color w:val="7F7F7F" w:themeColor="text1" w:themeTint="80"/>
                      </w:rPr>
                      <w:t>1</w:t>
                    </w:r>
                    <w:r w:rsidRPr="00A314B1">
                      <w:rPr>
                        <w:color w:val="7F7F7F" w:themeColor="text1" w:themeTint="80"/>
                      </w:rPr>
                      <w:fldChar w:fldCharType="end"/>
                    </w:r>
                    <w:r>
                      <w:t xml:space="preserve"> din </w:t>
                    </w:r>
                    <w:r w:rsidR="005D3FD1">
                      <w:fldChar w:fldCharType="begin"/>
                    </w:r>
                    <w:r w:rsidR="005D3FD1">
                      <w:instrText xml:space="preserve"> NUMPAGES   \* MERGEFORMAT </w:instrText>
                    </w:r>
                    <w:r w:rsidR="005D3FD1">
                      <w:fldChar w:fldCharType="separate"/>
                    </w:r>
                    <w:r w:rsidR="0098245D">
                      <w:rPr>
                        <w:noProof/>
                      </w:rPr>
                      <w:t>1</w:t>
                    </w:r>
                    <w:r w:rsidR="005D3FD1">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D1" w:rsidRDefault="005D3FD1" w:rsidP="003620AC">
      <w:pPr>
        <w:spacing w:line="240" w:lineRule="auto"/>
      </w:pPr>
      <w:r>
        <w:separator/>
      </w:r>
    </w:p>
  </w:footnote>
  <w:footnote w:type="continuationSeparator" w:id="0">
    <w:p w:rsidR="005D3FD1" w:rsidRDefault="005D3FD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83345F"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393110"/>
    <w:multiLevelType w:val="hybridMultilevel"/>
    <w:tmpl w:val="CCC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24F06"/>
    <w:multiLevelType w:val="hybridMultilevel"/>
    <w:tmpl w:val="38CC582E"/>
    <w:lvl w:ilvl="0" w:tplc="FFFFFFFF">
      <w:start w:val="1"/>
      <w:numFmt w:val="decimal"/>
      <w:lvlText w:val="%1."/>
      <w:lvlJc w:val="left"/>
      <w:pPr>
        <w:ind w:left="720" w:hanging="360"/>
      </w:pPr>
      <w:rPr>
        <w:rFonts w:ascii="Trebuchet MS" w:hAnsi="Trebuchet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314B31"/>
    <w:multiLevelType w:val="hybridMultilevel"/>
    <w:tmpl w:val="2888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79B8"/>
    <w:rsid w:val="000657D1"/>
    <w:rsid w:val="00066EC6"/>
    <w:rsid w:val="0008386E"/>
    <w:rsid w:val="00096232"/>
    <w:rsid w:val="000A20CC"/>
    <w:rsid w:val="000B4404"/>
    <w:rsid w:val="000C40FD"/>
    <w:rsid w:val="000C487C"/>
    <w:rsid w:val="000C69A9"/>
    <w:rsid w:val="000C7BDB"/>
    <w:rsid w:val="000F6B2B"/>
    <w:rsid w:val="00101C95"/>
    <w:rsid w:val="00102958"/>
    <w:rsid w:val="001069AD"/>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6702"/>
    <w:rsid w:val="001E4D6F"/>
    <w:rsid w:val="001E7598"/>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7D1A"/>
    <w:rsid w:val="002A1D57"/>
    <w:rsid w:val="002E40E0"/>
    <w:rsid w:val="002F3556"/>
    <w:rsid w:val="00303D07"/>
    <w:rsid w:val="003102DE"/>
    <w:rsid w:val="00314DEB"/>
    <w:rsid w:val="00316F70"/>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09FC"/>
    <w:rsid w:val="003C4D7F"/>
    <w:rsid w:val="003C5702"/>
    <w:rsid w:val="003D1099"/>
    <w:rsid w:val="003D5723"/>
    <w:rsid w:val="003F6145"/>
    <w:rsid w:val="00404DD3"/>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C5389"/>
    <w:rsid w:val="004F1160"/>
    <w:rsid w:val="004F4D8F"/>
    <w:rsid w:val="004F5666"/>
    <w:rsid w:val="004F7D77"/>
    <w:rsid w:val="005013D1"/>
    <w:rsid w:val="00502649"/>
    <w:rsid w:val="00505884"/>
    <w:rsid w:val="0052621D"/>
    <w:rsid w:val="00530019"/>
    <w:rsid w:val="005362AF"/>
    <w:rsid w:val="00547602"/>
    <w:rsid w:val="00557F9D"/>
    <w:rsid w:val="00565598"/>
    <w:rsid w:val="00567187"/>
    <w:rsid w:val="00576CEC"/>
    <w:rsid w:val="00581ED1"/>
    <w:rsid w:val="00582BB1"/>
    <w:rsid w:val="005839DD"/>
    <w:rsid w:val="00587845"/>
    <w:rsid w:val="0058790F"/>
    <w:rsid w:val="00587BA6"/>
    <w:rsid w:val="0059671E"/>
    <w:rsid w:val="00596F5D"/>
    <w:rsid w:val="0059747C"/>
    <w:rsid w:val="005979F3"/>
    <w:rsid w:val="005C75E1"/>
    <w:rsid w:val="005D3FD1"/>
    <w:rsid w:val="005F62D7"/>
    <w:rsid w:val="005F7C27"/>
    <w:rsid w:val="0061072E"/>
    <w:rsid w:val="006207C8"/>
    <w:rsid w:val="00621AF2"/>
    <w:rsid w:val="00621BC4"/>
    <w:rsid w:val="00622996"/>
    <w:rsid w:val="00624DE6"/>
    <w:rsid w:val="00627328"/>
    <w:rsid w:val="00635A34"/>
    <w:rsid w:val="00651621"/>
    <w:rsid w:val="0067305E"/>
    <w:rsid w:val="00675F59"/>
    <w:rsid w:val="00687B2B"/>
    <w:rsid w:val="0069581B"/>
    <w:rsid w:val="006A4D55"/>
    <w:rsid w:val="006B02D7"/>
    <w:rsid w:val="006B0BD1"/>
    <w:rsid w:val="006B7D20"/>
    <w:rsid w:val="006C3362"/>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7E5285"/>
    <w:rsid w:val="007F47E8"/>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C0CCD"/>
    <w:rsid w:val="008C5964"/>
    <w:rsid w:val="008D406E"/>
    <w:rsid w:val="008E0432"/>
    <w:rsid w:val="008E18B5"/>
    <w:rsid w:val="00907FA7"/>
    <w:rsid w:val="00907FD4"/>
    <w:rsid w:val="00910019"/>
    <w:rsid w:val="009218A7"/>
    <w:rsid w:val="00922A00"/>
    <w:rsid w:val="00925F6D"/>
    <w:rsid w:val="00926650"/>
    <w:rsid w:val="0094401E"/>
    <w:rsid w:val="009575A9"/>
    <w:rsid w:val="00970A1F"/>
    <w:rsid w:val="00973D0F"/>
    <w:rsid w:val="009821D2"/>
    <w:rsid w:val="0098245D"/>
    <w:rsid w:val="00984233"/>
    <w:rsid w:val="009847B3"/>
    <w:rsid w:val="009913C8"/>
    <w:rsid w:val="00992202"/>
    <w:rsid w:val="00992224"/>
    <w:rsid w:val="009930DA"/>
    <w:rsid w:val="00993891"/>
    <w:rsid w:val="0099660A"/>
    <w:rsid w:val="009A4173"/>
    <w:rsid w:val="009A5058"/>
    <w:rsid w:val="009B5057"/>
    <w:rsid w:val="009C0DB1"/>
    <w:rsid w:val="009C465E"/>
    <w:rsid w:val="00A045E2"/>
    <w:rsid w:val="00A0632E"/>
    <w:rsid w:val="00A158F5"/>
    <w:rsid w:val="00A17EAE"/>
    <w:rsid w:val="00A314B1"/>
    <w:rsid w:val="00A45120"/>
    <w:rsid w:val="00A52389"/>
    <w:rsid w:val="00A808E1"/>
    <w:rsid w:val="00A8394E"/>
    <w:rsid w:val="00A85CE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2264"/>
    <w:rsid w:val="00BD56FA"/>
    <w:rsid w:val="00BD5887"/>
    <w:rsid w:val="00BE78D8"/>
    <w:rsid w:val="00BF064D"/>
    <w:rsid w:val="00C01D5F"/>
    <w:rsid w:val="00C02D15"/>
    <w:rsid w:val="00C05426"/>
    <w:rsid w:val="00C10F40"/>
    <w:rsid w:val="00C25F8E"/>
    <w:rsid w:val="00C33F03"/>
    <w:rsid w:val="00C37DCE"/>
    <w:rsid w:val="00C50FAB"/>
    <w:rsid w:val="00C52104"/>
    <w:rsid w:val="00C53F1A"/>
    <w:rsid w:val="00C61447"/>
    <w:rsid w:val="00C71699"/>
    <w:rsid w:val="00C77658"/>
    <w:rsid w:val="00C77790"/>
    <w:rsid w:val="00C828BC"/>
    <w:rsid w:val="00C85D28"/>
    <w:rsid w:val="00CA0BDD"/>
    <w:rsid w:val="00CA6A95"/>
    <w:rsid w:val="00CA79C9"/>
    <w:rsid w:val="00CC50A6"/>
    <w:rsid w:val="00CC6649"/>
    <w:rsid w:val="00CD7ED0"/>
    <w:rsid w:val="00CE45F1"/>
    <w:rsid w:val="00CE5918"/>
    <w:rsid w:val="00CF6B2D"/>
    <w:rsid w:val="00D00B2C"/>
    <w:rsid w:val="00D019F8"/>
    <w:rsid w:val="00D040EE"/>
    <w:rsid w:val="00D117D0"/>
    <w:rsid w:val="00D126AA"/>
    <w:rsid w:val="00D14670"/>
    <w:rsid w:val="00D2474D"/>
    <w:rsid w:val="00D34F35"/>
    <w:rsid w:val="00D37A66"/>
    <w:rsid w:val="00D40432"/>
    <w:rsid w:val="00D43601"/>
    <w:rsid w:val="00D45CAE"/>
    <w:rsid w:val="00D564FE"/>
    <w:rsid w:val="00D63559"/>
    <w:rsid w:val="00D6498E"/>
    <w:rsid w:val="00D73F71"/>
    <w:rsid w:val="00D750EE"/>
    <w:rsid w:val="00D7634D"/>
    <w:rsid w:val="00D80D60"/>
    <w:rsid w:val="00D86A63"/>
    <w:rsid w:val="00D91AB7"/>
    <w:rsid w:val="00DA48BE"/>
    <w:rsid w:val="00DA7786"/>
    <w:rsid w:val="00DB042C"/>
    <w:rsid w:val="00DB4717"/>
    <w:rsid w:val="00DB747A"/>
    <w:rsid w:val="00DD560A"/>
    <w:rsid w:val="00DD647F"/>
    <w:rsid w:val="00DE46A0"/>
    <w:rsid w:val="00DE4E46"/>
    <w:rsid w:val="00DF1156"/>
    <w:rsid w:val="00DF5818"/>
    <w:rsid w:val="00E07044"/>
    <w:rsid w:val="00E07EE1"/>
    <w:rsid w:val="00E155DA"/>
    <w:rsid w:val="00E27A4D"/>
    <w:rsid w:val="00E3025A"/>
    <w:rsid w:val="00E30BAE"/>
    <w:rsid w:val="00E3127B"/>
    <w:rsid w:val="00E340E7"/>
    <w:rsid w:val="00E50C3F"/>
    <w:rsid w:val="00E61028"/>
    <w:rsid w:val="00E632FA"/>
    <w:rsid w:val="00E65D16"/>
    <w:rsid w:val="00E856EE"/>
    <w:rsid w:val="00E93C96"/>
    <w:rsid w:val="00E951C6"/>
    <w:rsid w:val="00E97541"/>
    <w:rsid w:val="00EB5249"/>
    <w:rsid w:val="00EB5461"/>
    <w:rsid w:val="00EC5FC3"/>
    <w:rsid w:val="00EF00DF"/>
    <w:rsid w:val="00F10704"/>
    <w:rsid w:val="00F207A3"/>
    <w:rsid w:val="00F25D0D"/>
    <w:rsid w:val="00F57AE0"/>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71760">
      <w:bodyDiv w:val="1"/>
      <w:marLeft w:val="0"/>
      <w:marRight w:val="0"/>
      <w:marTop w:val="0"/>
      <w:marBottom w:val="0"/>
      <w:divBdr>
        <w:top w:val="none" w:sz="0" w:space="0" w:color="auto"/>
        <w:left w:val="none" w:sz="0" w:space="0" w:color="auto"/>
        <w:bottom w:val="none" w:sz="0" w:space="0" w:color="auto"/>
        <w:right w:val="none" w:sz="0" w:space="0" w:color="auto"/>
      </w:divBdr>
    </w:div>
    <w:div w:id="21247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D2EB5"/>
    <w:rsid w:val="00404E09"/>
    <w:rsid w:val="0048238C"/>
    <w:rsid w:val="005323FE"/>
    <w:rsid w:val="005C0F5E"/>
    <w:rsid w:val="006006E7"/>
    <w:rsid w:val="006F585F"/>
    <w:rsid w:val="007503BC"/>
    <w:rsid w:val="007C4169"/>
    <w:rsid w:val="007D5A13"/>
    <w:rsid w:val="009515A7"/>
    <w:rsid w:val="00983668"/>
    <w:rsid w:val="009D1336"/>
    <w:rsid w:val="00A97D36"/>
    <w:rsid w:val="00AA57A9"/>
    <w:rsid w:val="00AE1BBD"/>
    <w:rsid w:val="00AF3765"/>
    <w:rsid w:val="00C626DF"/>
    <w:rsid w:val="00C76C48"/>
    <w:rsid w:val="00D634A7"/>
    <w:rsid w:val="00DA539E"/>
    <w:rsid w:val="00DB30E4"/>
    <w:rsid w:val="00DB7C00"/>
    <w:rsid w:val="00E16DA2"/>
    <w:rsid w:val="00FA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MACCJ7WAEWV6-565203097-846</_dlc_DocId>
    <_dlc_DocIdUrl xmlns="4c155583-69f9-458b-843e-56574a4bdc09">
      <Url>https://www.umfiasi.ro/ro/academic/facultati/bioinginerie-medicala/_layouts/15/DocIdRedir.aspx?ID=MACCJ7WAEWV6-565203097-846</Url>
      <Description>MACCJ7WAEWV6-565203097-846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F6C10-0876-4C27-820C-6C7B34880D51}"/>
</file>

<file path=customXml/itemProps2.xml><?xml version="1.0" encoding="utf-8"?>
<ds:datastoreItem xmlns:ds="http://schemas.openxmlformats.org/officeDocument/2006/customXml" ds:itemID="{04168B5F-11B6-4BAC-A23A-11385F994BF8}"/>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CF18A5AB-C2BE-4B11-9E5D-3D2397CCE529}"/>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7932</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2024-10-04T06:53:00Z</dcterms:created>
  <dcterms:modified xsi:type="dcterms:W3CDTF">2024-10-04T06:53:00Z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772a8990-71b5-465f-ac3b-e0f220f921eb</vt:lpwstr>
  </property>
</Properties>
</file>