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C84F40" w:rsidRPr="00B57069">
              <w:rPr>
                <w:rFonts w:asciiTheme="majorHAnsi" w:hAnsiTheme="majorHAnsi"/>
                <w:b/>
                <w:noProof/>
              </w:rPr>
              <w:t>General Nursing</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C84F40" w:rsidRPr="00B57069">
              <w:rPr>
                <w:rFonts w:asciiTheme="majorHAnsi" w:hAnsiTheme="majorHAnsi"/>
                <w:b/>
                <w:noProof/>
              </w:rPr>
              <w:t>RE1206</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5A398A" w:rsidRDefault="005A398A" w:rsidP="008B5920">
            <w:pPr>
              <w:rPr>
                <w:rFonts w:asciiTheme="majorHAnsi" w:hAnsiTheme="majorHAnsi"/>
                <w:b/>
              </w:rPr>
            </w:pPr>
            <w:r w:rsidRPr="005A398A">
              <w:rPr>
                <w:rFonts w:asciiTheme="majorHAnsi" w:hAnsiTheme="majorHAnsi" w:cs="TimesNewRoman"/>
                <w:b/>
                <w:szCs w:val="20"/>
                <w:lang w:bidi="ne-NP"/>
              </w:rPr>
              <w:t>Lecturer</w:t>
            </w:r>
            <w:r w:rsidR="008B5920">
              <w:rPr>
                <w:rFonts w:asciiTheme="majorHAnsi" w:hAnsiTheme="majorHAnsi" w:cs="TimesNewRoman"/>
                <w:b/>
                <w:szCs w:val="20"/>
                <w:lang w:bidi="ne-NP"/>
              </w:rPr>
              <w:t xml:space="preserve"> Andreea Moraru</w:t>
            </w:r>
            <w:r w:rsidR="00EE4AAC">
              <w:rPr>
                <w:rFonts w:asciiTheme="majorHAnsi" w:hAnsiTheme="majorHAnsi" w:cs="TimesNewRoman"/>
                <w:b/>
                <w:szCs w:val="20"/>
                <w:lang w:bidi="ne-NP"/>
              </w:rPr>
              <w:t>, MD,</w:t>
            </w:r>
            <w:r w:rsidRPr="005A398A">
              <w:rPr>
                <w:rFonts w:asciiTheme="majorHAnsi" w:hAnsiTheme="majorHAnsi" w:cs="TimesNewRoman"/>
                <w:b/>
                <w:szCs w:val="20"/>
                <w:lang w:bidi="ne-NP"/>
              </w:rPr>
              <w:t xml:space="preserve">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5A398A" w:rsidRDefault="008B5920" w:rsidP="00BF064D">
            <w:pPr>
              <w:rPr>
                <w:rFonts w:asciiTheme="majorHAnsi" w:hAnsiTheme="majorHAnsi"/>
                <w:b/>
              </w:rPr>
            </w:pPr>
            <w:r w:rsidRPr="005A398A">
              <w:rPr>
                <w:rFonts w:asciiTheme="majorHAnsi" w:hAnsiTheme="majorHAnsi" w:cs="TimesNewRoman"/>
                <w:b/>
                <w:szCs w:val="20"/>
                <w:lang w:bidi="ne-NP"/>
              </w:rPr>
              <w:t>Lecturer</w:t>
            </w:r>
            <w:r>
              <w:rPr>
                <w:rFonts w:asciiTheme="majorHAnsi" w:hAnsiTheme="majorHAnsi" w:cs="TimesNewRoman"/>
                <w:b/>
                <w:szCs w:val="20"/>
                <w:lang w:bidi="ne-NP"/>
              </w:rPr>
              <w:t xml:space="preserve"> Andreea Moraru, MD,</w:t>
            </w:r>
            <w:r w:rsidRPr="005A398A">
              <w:rPr>
                <w:rFonts w:asciiTheme="majorHAnsi" w:hAnsiTheme="majorHAnsi" w:cs="TimesNewRoman"/>
                <w:b/>
                <w:szCs w:val="20"/>
                <w:lang w:bidi="ne-NP"/>
              </w:rPr>
              <w:t xml:space="preserve">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C84F40"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C84F40"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C84F40"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C84F40"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C84F40"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C84F40"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C84F40"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C84F40"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C84F40"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89316A" w:rsidRPr="00530F76" w:rsidRDefault="0089316A" w:rsidP="0089316A">
            <w:pPr>
              <w:spacing w:line="276" w:lineRule="auto"/>
              <w:jc w:val="center"/>
              <w:rPr>
                <w:rFonts w:asciiTheme="majorHAnsi" w:hAnsiTheme="majorHAnsi"/>
                <w:szCs w:val="20"/>
                <w:lang w:val="en-US"/>
              </w:rPr>
            </w:pPr>
            <w:r w:rsidRPr="00530F76">
              <w:rPr>
                <w:rFonts w:asciiTheme="majorHAnsi" w:hAnsiTheme="majorHAnsi"/>
                <w:szCs w:val="20"/>
                <w:lang w:val="en-US"/>
              </w:rPr>
              <w:t>12</w:t>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89316A" w:rsidRPr="00530F76" w:rsidRDefault="0089316A" w:rsidP="0089316A">
            <w:pPr>
              <w:spacing w:line="276" w:lineRule="auto"/>
              <w:jc w:val="center"/>
              <w:rPr>
                <w:rFonts w:asciiTheme="majorHAnsi" w:hAnsiTheme="majorHAnsi"/>
                <w:szCs w:val="20"/>
                <w:lang w:val="en-US"/>
              </w:rPr>
            </w:pPr>
            <w:r w:rsidRPr="00530F76">
              <w:rPr>
                <w:rFonts w:asciiTheme="majorHAnsi" w:hAnsiTheme="majorHAnsi"/>
                <w:szCs w:val="20"/>
                <w:lang w:val="en-US"/>
              </w:rPr>
              <w:t>4</w:t>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89316A" w:rsidRPr="00530F76" w:rsidRDefault="0089316A" w:rsidP="0089316A">
            <w:pPr>
              <w:spacing w:line="276" w:lineRule="auto"/>
              <w:jc w:val="center"/>
              <w:rPr>
                <w:rFonts w:asciiTheme="majorHAnsi" w:hAnsiTheme="majorHAnsi"/>
                <w:szCs w:val="20"/>
                <w:lang w:val="en-US"/>
              </w:rPr>
            </w:pPr>
            <w:r w:rsidRPr="00530F76">
              <w:rPr>
                <w:rFonts w:asciiTheme="majorHAnsi" w:hAnsiTheme="majorHAnsi"/>
                <w:szCs w:val="20"/>
                <w:lang w:val="en-US"/>
              </w:rPr>
              <w:t>6</w:t>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89316A" w:rsidRPr="00530F76" w:rsidRDefault="0089316A" w:rsidP="0089316A">
            <w:pPr>
              <w:spacing w:line="276" w:lineRule="auto"/>
              <w:jc w:val="center"/>
              <w:rPr>
                <w:rFonts w:asciiTheme="majorHAnsi" w:hAnsiTheme="majorHAnsi"/>
                <w:szCs w:val="20"/>
                <w:lang w:val="en-US"/>
              </w:rPr>
            </w:pPr>
            <w:r w:rsidRPr="00530F76">
              <w:rPr>
                <w:rFonts w:asciiTheme="majorHAnsi" w:hAnsiTheme="majorHAnsi"/>
                <w:szCs w:val="20"/>
                <w:lang w:val="en-US"/>
              </w:rPr>
              <w:t>2</w:t>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89316A" w:rsidRPr="00530F76" w:rsidRDefault="00796950" w:rsidP="0089316A">
            <w:pPr>
              <w:spacing w:line="276" w:lineRule="auto"/>
              <w:jc w:val="center"/>
              <w:rPr>
                <w:rFonts w:asciiTheme="majorHAnsi" w:hAnsiTheme="majorHAnsi"/>
                <w:szCs w:val="20"/>
                <w:lang w:val="en-US"/>
              </w:rPr>
            </w:pPr>
            <w:r>
              <w:rPr>
                <w:rFonts w:asciiTheme="majorHAnsi" w:hAnsiTheme="majorHAnsi"/>
                <w:szCs w:val="20"/>
                <w:lang w:val="en-US"/>
              </w:rPr>
              <w:t>2</w:t>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r>
      <w:tr w:rsidR="0089316A" w:rsidRPr="00386A2F" w:rsidTr="00384A9B">
        <w:tc>
          <w:tcPr>
            <w:tcW w:w="7054" w:type="dxa"/>
            <w:gridSpan w:val="5"/>
            <w:tcBorders>
              <w:bottom w:val="single" w:sz="4" w:space="0" w:color="auto"/>
            </w:tcBorders>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89316A" w:rsidRPr="008607C1" w:rsidRDefault="0089316A" w:rsidP="0089316A">
            <w:pPr>
              <w:autoSpaceDE w:val="0"/>
              <w:autoSpaceDN w:val="0"/>
              <w:adjustRightInd w:val="0"/>
              <w:jc w:val="center"/>
              <w:rPr>
                <w:rFonts w:asciiTheme="majorHAnsi" w:hAnsiTheme="majorHAnsi" w:cs="TimesNewRoman,Bold"/>
                <w:szCs w:val="20"/>
                <w:lang w:bidi="ne-NP"/>
              </w:rPr>
            </w:pP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89316A" w:rsidRPr="008607C1" w:rsidRDefault="0089316A" w:rsidP="0089316A">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89316A" w:rsidRPr="008607C1" w:rsidRDefault="0089316A" w:rsidP="0089316A">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89316A" w:rsidRPr="00386A2F" w:rsidTr="00384A9B">
        <w:tc>
          <w:tcPr>
            <w:tcW w:w="7054" w:type="dxa"/>
            <w:gridSpan w:val="5"/>
            <w:shd w:val="clear" w:color="auto" w:fill="F2F2F2" w:themeFill="background1" w:themeFillShade="F2"/>
          </w:tcPr>
          <w:p w:rsidR="0089316A" w:rsidRPr="008607C1" w:rsidRDefault="0089316A" w:rsidP="0089316A">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89316A" w:rsidRPr="008607C1" w:rsidRDefault="0089316A" w:rsidP="0089316A">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89316A" w:rsidRPr="008607C1" w:rsidRDefault="0089316A" w:rsidP="0089316A">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7689"/>
      </w:tblGrid>
      <w:tr w:rsidR="00EE4AAC" w:rsidRPr="008C0CCD" w:rsidTr="00EE4AAC">
        <w:tc>
          <w:tcPr>
            <w:tcW w:w="2222" w:type="dxa"/>
            <w:shd w:val="clear" w:color="auto" w:fill="F2F2F2" w:themeFill="background1" w:themeFillShade="F2"/>
            <w:vAlign w:val="center"/>
          </w:tcPr>
          <w:p w:rsidR="00EE4AAC" w:rsidRPr="008C0CCD" w:rsidRDefault="00EE4AAC" w:rsidP="0089316A">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689" w:type="dxa"/>
          </w:tcPr>
          <w:p w:rsidR="00EE4AAC" w:rsidRPr="00530F76" w:rsidRDefault="00EE4AAC" w:rsidP="0089316A">
            <w:pPr>
              <w:spacing w:line="276" w:lineRule="auto"/>
              <w:rPr>
                <w:rFonts w:asciiTheme="majorHAnsi" w:hAnsiTheme="majorHAnsi"/>
                <w:szCs w:val="20"/>
                <w:lang w:val="en-US"/>
              </w:rPr>
            </w:pPr>
            <w:r w:rsidRPr="00530F76">
              <w:rPr>
                <w:rFonts w:asciiTheme="majorHAnsi" w:hAnsiTheme="majorHAnsi"/>
                <w:szCs w:val="20"/>
              </w:rPr>
              <w:t>Anatomy, Physiology</w:t>
            </w:r>
          </w:p>
        </w:tc>
      </w:tr>
      <w:tr w:rsidR="00EE4AAC" w:rsidRPr="008C0CCD" w:rsidTr="00EE4AAC">
        <w:tc>
          <w:tcPr>
            <w:tcW w:w="2222" w:type="dxa"/>
            <w:shd w:val="clear" w:color="auto" w:fill="F2F2F2" w:themeFill="background1" w:themeFillShade="F2"/>
            <w:vAlign w:val="center"/>
          </w:tcPr>
          <w:p w:rsidR="00EE4AAC" w:rsidRPr="008C0CCD" w:rsidRDefault="00EE4AAC" w:rsidP="0089316A">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689" w:type="dxa"/>
          </w:tcPr>
          <w:p w:rsidR="00EE4AAC" w:rsidRPr="00530F76" w:rsidRDefault="00EE4AAC" w:rsidP="0089316A">
            <w:pPr>
              <w:spacing w:line="276" w:lineRule="auto"/>
              <w:rPr>
                <w:rFonts w:asciiTheme="majorHAnsi" w:hAnsiTheme="majorHAnsi"/>
                <w:szCs w:val="20"/>
                <w:lang w:val="en-US"/>
              </w:rPr>
            </w:pPr>
            <w:r w:rsidRPr="00530F76">
              <w:rPr>
                <w:rFonts w:asciiTheme="majorHAnsi" w:hAnsiTheme="majorHAnsi"/>
                <w:szCs w:val="20"/>
                <w:lang w:bidi="ne-NP"/>
              </w:rPr>
              <w:t>Knowledge of macroscopic and microscopic structure of the organs. Knowledge of techniques of exploring and evaluation of organ functionality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695"/>
      </w:tblGrid>
      <w:tr w:rsidR="00EE4AAC" w:rsidRPr="008C0CCD" w:rsidTr="00EE4AAC">
        <w:tc>
          <w:tcPr>
            <w:tcW w:w="2216" w:type="dxa"/>
            <w:shd w:val="clear" w:color="auto" w:fill="F2F2F2" w:themeFill="background1" w:themeFillShade="F2"/>
            <w:vAlign w:val="center"/>
          </w:tcPr>
          <w:p w:rsidR="00EE4AAC" w:rsidRPr="008C0CCD" w:rsidRDefault="00EE4AAC" w:rsidP="0089316A">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695" w:type="dxa"/>
          </w:tcPr>
          <w:p w:rsidR="00EE4AAC" w:rsidRPr="00530F76" w:rsidRDefault="00EE4AAC" w:rsidP="0089316A">
            <w:pPr>
              <w:spacing w:line="276" w:lineRule="auto"/>
              <w:rPr>
                <w:rFonts w:asciiTheme="majorHAnsi" w:hAnsiTheme="majorHAnsi"/>
                <w:szCs w:val="20"/>
                <w:lang w:val="en-US"/>
              </w:rPr>
            </w:pPr>
            <w:r w:rsidRPr="00530F76">
              <w:rPr>
                <w:rFonts w:asciiTheme="majorHAnsi" w:hAnsiTheme="majorHAnsi"/>
                <w:bCs/>
                <w:szCs w:val="20"/>
                <w:lang w:bidi="ne-NP"/>
              </w:rPr>
              <w:t>Projector</w:t>
            </w:r>
          </w:p>
        </w:tc>
      </w:tr>
      <w:tr w:rsidR="00EE4AAC" w:rsidRPr="008C0CCD" w:rsidTr="00EE4AAC">
        <w:tc>
          <w:tcPr>
            <w:tcW w:w="2216" w:type="dxa"/>
            <w:shd w:val="clear" w:color="auto" w:fill="F2F2F2" w:themeFill="background1" w:themeFillShade="F2"/>
            <w:vAlign w:val="center"/>
          </w:tcPr>
          <w:p w:rsidR="00EE4AAC" w:rsidRPr="008C0CCD" w:rsidRDefault="00EE4AAC" w:rsidP="0089316A">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695" w:type="dxa"/>
          </w:tcPr>
          <w:p w:rsidR="00EE4AAC" w:rsidRPr="00530F76" w:rsidRDefault="00EE4AAC" w:rsidP="0089316A">
            <w:pPr>
              <w:spacing w:line="276" w:lineRule="auto"/>
              <w:rPr>
                <w:rFonts w:asciiTheme="majorHAnsi" w:hAnsiTheme="majorHAnsi"/>
                <w:szCs w:val="20"/>
                <w:lang w:val="en-US"/>
              </w:rPr>
            </w:pPr>
            <w:r w:rsidRPr="00530F76">
              <w:rPr>
                <w:rFonts w:asciiTheme="majorHAnsi" w:hAnsiTheme="majorHAnsi"/>
                <w:bCs/>
                <w:szCs w:val="20"/>
                <w:lang w:bidi="ne-NP"/>
              </w:rPr>
              <w:t>Students will wear protection equipment (white coat), in order to enter the wards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EE4AAC"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6.3</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89316A" w:rsidRPr="00530F76" w:rsidRDefault="0089316A" w:rsidP="0089316A">
            <w:pPr>
              <w:rPr>
                <w:rFonts w:asciiTheme="majorHAnsi" w:hAnsiTheme="majorHAnsi"/>
                <w:color w:val="000000"/>
                <w:szCs w:val="20"/>
              </w:rPr>
            </w:pPr>
            <w:r w:rsidRPr="00530F76">
              <w:rPr>
                <w:rFonts w:asciiTheme="majorHAnsi" w:hAnsiTheme="majorHAnsi"/>
                <w:color w:val="000000"/>
                <w:szCs w:val="20"/>
              </w:rPr>
              <w:t>Critical interpretation of functional assessment scores, permanently updated  according to international standards</w:t>
            </w:r>
          </w:p>
          <w:p w:rsidR="00A808E1" w:rsidRPr="00993891" w:rsidRDefault="00A808E1" w:rsidP="00A808E1">
            <w:pPr>
              <w:pStyle w:val="Default"/>
              <w:rPr>
                <w:rFonts w:asciiTheme="majorHAnsi" w:hAnsiTheme="majorHAnsi" w:cs="TimesNewRoman,Bold"/>
                <w:b/>
                <w:bCs/>
                <w:sz w:val="20"/>
                <w:szCs w:val="20"/>
                <w:lang w:val="ro-RO" w:bidi="ne-NP"/>
              </w:rPr>
            </w:pP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EE4AAC"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89316A" w:rsidRPr="00530F76" w:rsidRDefault="0089316A" w:rsidP="0089316A">
            <w:pPr>
              <w:rPr>
                <w:rFonts w:asciiTheme="majorHAnsi" w:hAnsiTheme="majorHAnsi"/>
                <w:color w:val="000000"/>
                <w:szCs w:val="20"/>
              </w:rPr>
            </w:pPr>
            <w:r w:rsidRPr="00530F76">
              <w:rPr>
                <w:rFonts w:asciiTheme="majorHAnsi" w:hAnsiTheme="majorHAnsi"/>
                <w:color w:val="000000"/>
                <w:szCs w:val="20"/>
              </w:rPr>
              <w:t>Orthoses, prostheses and other medical devices application, together with patient couselling about sports allowed or changing job</w:t>
            </w:r>
          </w:p>
          <w:p w:rsidR="00331357" w:rsidRPr="00993891" w:rsidRDefault="00331357" w:rsidP="00A808E1">
            <w:pPr>
              <w:pStyle w:val="Default"/>
              <w:rPr>
                <w:rFonts w:asciiTheme="majorHAnsi" w:hAnsiTheme="majorHAnsi" w:cs="TimesNewRoman,Bold"/>
                <w:b/>
                <w:bCs/>
                <w:sz w:val="20"/>
                <w:szCs w:val="20"/>
                <w:lang w:val="ro-RO" w:bidi="ne-NP"/>
              </w:rPr>
            </w:pP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572"/>
      </w:tblGrid>
      <w:tr w:rsidR="00EE4AAC" w:rsidRPr="008C0CCD" w:rsidTr="00EE4AAC">
        <w:tc>
          <w:tcPr>
            <w:tcW w:w="2339" w:type="dxa"/>
            <w:shd w:val="clear" w:color="auto" w:fill="F2F2F2" w:themeFill="background1" w:themeFillShade="F2"/>
            <w:vAlign w:val="center"/>
          </w:tcPr>
          <w:p w:rsidR="00EE4AAC" w:rsidRPr="008C0CCD" w:rsidRDefault="00EE4AAC" w:rsidP="0089316A">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572" w:type="dxa"/>
          </w:tcPr>
          <w:p w:rsidR="00EE4AAC" w:rsidRPr="00530F76" w:rsidRDefault="00EE4AAC" w:rsidP="0089316A">
            <w:pPr>
              <w:widowControl w:val="0"/>
              <w:autoSpaceDE w:val="0"/>
              <w:snapToGrid w:val="0"/>
              <w:spacing w:line="276" w:lineRule="auto"/>
              <w:ind w:right="62"/>
              <w:rPr>
                <w:rFonts w:asciiTheme="majorHAnsi" w:hAnsiTheme="majorHAnsi"/>
                <w:szCs w:val="20"/>
                <w:lang w:val="en-US"/>
              </w:rPr>
            </w:pPr>
            <w:r w:rsidRPr="00530F76">
              <w:rPr>
                <w:rFonts w:asciiTheme="majorHAnsi" w:hAnsiTheme="majorHAnsi"/>
                <w:bCs/>
                <w:szCs w:val="20"/>
                <w:lang w:bidi="ne-NP"/>
              </w:rPr>
              <w:t>Familiarity with the methods of first aid, medical terms and pathology .</w:t>
            </w:r>
          </w:p>
        </w:tc>
      </w:tr>
      <w:tr w:rsidR="00EE4AAC" w:rsidRPr="008C0CCD" w:rsidTr="00EE4AAC">
        <w:tc>
          <w:tcPr>
            <w:tcW w:w="2339" w:type="dxa"/>
            <w:shd w:val="clear" w:color="auto" w:fill="F2F2F2" w:themeFill="background1" w:themeFillShade="F2"/>
            <w:vAlign w:val="center"/>
          </w:tcPr>
          <w:p w:rsidR="00EE4AAC" w:rsidRPr="008C0CCD" w:rsidRDefault="00EE4AAC" w:rsidP="0089316A">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572" w:type="dxa"/>
          </w:tcPr>
          <w:p w:rsidR="00EE4AAC" w:rsidRPr="00530F76" w:rsidRDefault="00EE4AAC" w:rsidP="0089316A">
            <w:pPr>
              <w:spacing w:line="276" w:lineRule="auto"/>
              <w:rPr>
                <w:rFonts w:asciiTheme="majorHAnsi" w:hAnsiTheme="majorHAnsi"/>
                <w:szCs w:val="20"/>
                <w:lang w:val="en-US"/>
              </w:rPr>
            </w:pPr>
            <w:r w:rsidRPr="00530F76">
              <w:rPr>
                <w:rFonts w:asciiTheme="majorHAnsi" w:hAnsiTheme="majorHAnsi"/>
                <w:szCs w:val="20"/>
              </w:rPr>
              <w:t>To familiarize the students with the administration of drugs and with specific maneuvres to protect and care of the patients, especially the seriously ill patients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69"/>
        <w:gridCol w:w="1963"/>
        <w:gridCol w:w="1428"/>
      </w:tblGrid>
      <w:tr w:rsidR="00CF6B2D" w:rsidRPr="008C0CCD" w:rsidTr="0089316A">
        <w:tc>
          <w:tcPr>
            <w:tcW w:w="6520" w:type="dxa"/>
            <w:gridSpan w:val="2"/>
            <w:shd w:val="clear" w:color="auto" w:fill="F2F2F2" w:themeFill="background1" w:themeFillShade="F2"/>
            <w:vAlign w:val="center"/>
          </w:tcPr>
          <w:p w:rsidR="00CF6B2D" w:rsidRPr="008C0CCD" w:rsidRDefault="00D73F71" w:rsidP="00BE50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63" w:type="dxa"/>
            <w:shd w:val="clear" w:color="auto" w:fill="F2F2F2" w:themeFill="background1" w:themeFillShade="F2"/>
          </w:tcPr>
          <w:p w:rsidR="00CF6B2D" w:rsidRPr="008C0CCD" w:rsidRDefault="006B7D20" w:rsidP="00BE50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E50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69" w:type="dxa"/>
            <w:shd w:val="clear" w:color="auto" w:fill="auto"/>
          </w:tcPr>
          <w:p w:rsidR="0089316A" w:rsidRPr="000907BA" w:rsidRDefault="0089316A" w:rsidP="00BE5037">
            <w:pPr>
              <w:spacing w:line="240" w:lineRule="auto"/>
              <w:rPr>
                <w:rFonts w:asciiTheme="minorHAnsi" w:hAnsiTheme="minorHAnsi"/>
                <w:bCs/>
                <w:szCs w:val="20"/>
                <w:lang w:val="en-US"/>
              </w:rPr>
            </w:pPr>
            <w:r w:rsidRPr="000907BA">
              <w:rPr>
                <w:rFonts w:asciiTheme="minorHAnsi" w:hAnsiTheme="minorHAnsi"/>
                <w:szCs w:val="20"/>
              </w:rPr>
              <w:t>Cardio-vascular, respiratory and neurologic vital signs</w:t>
            </w: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69" w:type="dxa"/>
            <w:shd w:val="clear" w:color="auto" w:fill="auto"/>
          </w:tcPr>
          <w:p w:rsidR="0089316A" w:rsidRPr="000907BA" w:rsidRDefault="0089316A" w:rsidP="00BE5037">
            <w:pPr>
              <w:spacing w:line="240" w:lineRule="auto"/>
              <w:rPr>
                <w:rFonts w:asciiTheme="minorHAnsi" w:hAnsiTheme="minorHAnsi"/>
                <w:bCs/>
                <w:szCs w:val="20"/>
                <w:lang w:val="en-US"/>
              </w:rPr>
            </w:pPr>
            <w:r w:rsidRPr="000907BA">
              <w:rPr>
                <w:rFonts w:asciiTheme="minorHAnsi" w:hAnsiTheme="minorHAnsi"/>
                <w:szCs w:val="20"/>
              </w:rPr>
              <w:t>First aid: on street, in the emergency department and inside hospital, general assessment, resuscitation maneuvres, specific steps</w:t>
            </w: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69" w:type="dxa"/>
            <w:shd w:val="clear" w:color="auto" w:fill="auto"/>
          </w:tcPr>
          <w:p w:rsidR="0089316A" w:rsidRPr="000907BA" w:rsidRDefault="0089316A" w:rsidP="00BE5037">
            <w:pPr>
              <w:spacing w:line="240" w:lineRule="auto"/>
              <w:rPr>
                <w:rFonts w:asciiTheme="minorHAnsi" w:hAnsiTheme="minorHAnsi"/>
                <w:bCs/>
                <w:szCs w:val="20"/>
                <w:lang w:val="en-US"/>
              </w:rPr>
            </w:pPr>
            <w:r w:rsidRPr="000907BA">
              <w:rPr>
                <w:rFonts w:asciiTheme="minorHAnsi" w:hAnsiTheme="minorHAnsi"/>
                <w:szCs w:val="20"/>
              </w:rPr>
              <w:t>Burns: classification, first aid, local and general therapy, functional rehabilitation in late complications: scars and joint diminished mobility</w:t>
            </w: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69" w:type="dxa"/>
            <w:shd w:val="clear" w:color="auto" w:fill="auto"/>
          </w:tcPr>
          <w:p w:rsidR="0089316A" w:rsidRPr="000907BA" w:rsidRDefault="0089316A" w:rsidP="00BE5037">
            <w:pPr>
              <w:spacing w:line="240" w:lineRule="auto"/>
              <w:rPr>
                <w:rFonts w:asciiTheme="minorHAnsi" w:hAnsiTheme="minorHAnsi"/>
                <w:szCs w:val="20"/>
              </w:rPr>
            </w:pPr>
            <w:r w:rsidRPr="000907BA">
              <w:rPr>
                <w:rFonts w:asciiTheme="minorHAnsi" w:hAnsiTheme="minorHAnsi"/>
                <w:szCs w:val="20"/>
              </w:rPr>
              <w:t>Principles of care in sprains, dislocations.</w:t>
            </w:r>
          </w:p>
          <w:p w:rsidR="0089316A" w:rsidRPr="000907BA" w:rsidRDefault="0089316A" w:rsidP="00BE5037">
            <w:pPr>
              <w:pStyle w:val="Default"/>
              <w:rPr>
                <w:rFonts w:asciiTheme="minorHAnsi" w:eastAsia="Trebuchet MS" w:hAnsiTheme="minorHAnsi"/>
                <w:bCs/>
                <w:color w:val="auto"/>
                <w:sz w:val="20"/>
                <w:szCs w:val="20"/>
              </w:rPr>
            </w:pP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69" w:type="dxa"/>
            <w:shd w:val="clear" w:color="auto" w:fill="auto"/>
          </w:tcPr>
          <w:p w:rsidR="0089316A" w:rsidRPr="000907BA" w:rsidRDefault="0089316A" w:rsidP="00BE5037">
            <w:pPr>
              <w:spacing w:line="240" w:lineRule="auto"/>
              <w:rPr>
                <w:rFonts w:asciiTheme="minorHAnsi" w:hAnsiTheme="minorHAnsi"/>
                <w:szCs w:val="20"/>
              </w:rPr>
            </w:pPr>
            <w:r w:rsidRPr="000907BA">
              <w:rPr>
                <w:rFonts w:asciiTheme="minorHAnsi" w:hAnsiTheme="minorHAnsi"/>
                <w:szCs w:val="20"/>
              </w:rPr>
              <w:t xml:space="preserve"> Principles of fracture care</w:t>
            </w:r>
          </w:p>
          <w:p w:rsidR="0089316A" w:rsidRPr="000907BA" w:rsidRDefault="0089316A" w:rsidP="00BE5037">
            <w:pPr>
              <w:spacing w:line="240" w:lineRule="auto"/>
              <w:rPr>
                <w:rFonts w:asciiTheme="minorHAnsi" w:eastAsia="Trebuchet MS" w:hAnsiTheme="minorHAnsi"/>
                <w:bCs/>
                <w:szCs w:val="20"/>
              </w:rPr>
            </w:pP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69" w:type="dxa"/>
            <w:shd w:val="clear" w:color="auto" w:fill="auto"/>
          </w:tcPr>
          <w:p w:rsidR="0089316A" w:rsidRPr="000907BA" w:rsidRDefault="0089316A" w:rsidP="00BE5037">
            <w:pPr>
              <w:pStyle w:val="Default"/>
              <w:rPr>
                <w:rFonts w:asciiTheme="minorHAnsi" w:eastAsia="Trebuchet MS" w:hAnsiTheme="minorHAnsi"/>
                <w:bCs/>
                <w:color w:val="auto"/>
                <w:sz w:val="20"/>
                <w:szCs w:val="20"/>
              </w:rPr>
            </w:pPr>
            <w:r w:rsidRPr="000907BA">
              <w:rPr>
                <w:rFonts w:asciiTheme="minorHAnsi" w:hAnsiTheme="minorHAnsi"/>
                <w:sz w:val="20"/>
                <w:szCs w:val="20"/>
              </w:rPr>
              <w:t>Principles of care for spinal injuries</w:t>
            </w: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8C0CCD"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69" w:type="dxa"/>
            <w:shd w:val="clear" w:color="auto" w:fill="auto"/>
          </w:tcPr>
          <w:p w:rsidR="0089316A" w:rsidRPr="000907BA" w:rsidRDefault="0089316A" w:rsidP="00BE5037">
            <w:pPr>
              <w:spacing w:line="240" w:lineRule="auto"/>
              <w:rPr>
                <w:rFonts w:asciiTheme="minorHAnsi" w:hAnsiTheme="minorHAnsi"/>
                <w:bCs/>
                <w:szCs w:val="20"/>
                <w:lang w:val="en-US"/>
              </w:rPr>
            </w:pPr>
            <w:r w:rsidRPr="000907BA">
              <w:rPr>
                <w:rFonts w:asciiTheme="minorHAnsi" w:hAnsiTheme="minorHAnsi"/>
                <w:szCs w:val="20"/>
              </w:rPr>
              <w:t>Principles of care in cranio-cerebral injuries</w:t>
            </w:r>
            <w:r w:rsidRPr="000907BA">
              <w:rPr>
                <w:rFonts w:asciiTheme="minorHAnsi" w:hAnsiTheme="minorHAnsi"/>
                <w:bCs/>
                <w:szCs w:val="20"/>
                <w:lang w:val="en-US"/>
              </w:rPr>
              <w:t xml:space="preserve"> </w:t>
            </w:r>
          </w:p>
        </w:tc>
        <w:tc>
          <w:tcPr>
            <w:tcW w:w="1963"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cs="TimesNewRoman"/>
                <w:szCs w:val="20"/>
                <w:lang w:bidi="ne-NP"/>
              </w:rPr>
              <w:t>Interactive lecture, discussions,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70"/>
        <w:gridCol w:w="1962"/>
        <w:gridCol w:w="1428"/>
      </w:tblGrid>
      <w:tr w:rsidR="006B7D20" w:rsidRPr="00730232" w:rsidTr="0089316A">
        <w:tc>
          <w:tcPr>
            <w:tcW w:w="6521" w:type="dxa"/>
            <w:gridSpan w:val="2"/>
            <w:shd w:val="clear" w:color="auto" w:fill="F2F2F2" w:themeFill="background1" w:themeFillShade="F2"/>
            <w:vAlign w:val="center"/>
          </w:tcPr>
          <w:p w:rsidR="006B7D20" w:rsidRPr="00730232" w:rsidRDefault="006B7D20" w:rsidP="00BE50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C84F40"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62" w:type="dxa"/>
            <w:shd w:val="clear" w:color="auto" w:fill="F2F2F2" w:themeFill="background1" w:themeFillShade="F2"/>
          </w:tcPr>
          <w:p w:rsidR="006B7D20" w:rsidRPr="008C0CCD" w:rsidRDefault="006B7D20" w:rsidP="00BE50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BE50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9316A" w:rsidRPr="00730232"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70" w:type="dxa"/>
            <w:shd w:val="clear" w:color="auto" w:fill="auto"/>
          </w:tcPr>
          <w:p w:rsidR="0089316A" w:rsidRPr="00530F76" w:rsidRDefault="0089316A" w:rsidP="00BE5037">
            <w:pPr>
              <w:spacing w:line="240" w:lineRule="auto"/>
              <w:jc w:val="both"/>
              <w:rPr>
                <w:rFonts w:asciiTheme="majorHAnsi" w:hAnsiTheme="majorHAnsi"/>
                <w:szCs w:val="20"/>
              </w:rPr>
            </w:pPr>
            <w:r w:rsidRPr="00530F76">
              <w:rPr>
                <w:rFonts w:asciiTheme="majorHAnsi" w:hAnsiTheme="majorHAnsi"/>
                <w:szCs w:val="20"/>
              </w:rPr>
              <w:t>Infection prevention for medical staff</w:t>
            </w:r>
          </w:p>
          <w:p w:rsidR="0089316A" w:rsidRPr="00530F76" w:rsidRDefault="0089316A" w:rsidP="00BE5037">
            <w:pPr>
              <w:spacing w:line="240" w:lineRule="auto"/>
              <w:jc w:val="both"/>
              <w:rPr>
                <w:rFonts w:asciiTheme="majorHAnsi" w:hAnsiTheme="majorHAnsi"/>
                <w:szCs w:val="20"/>
              </w:rPr>
            </w:pPr>
            <w:r w:rsidRPr="00530F76">
              <w:rPr>
                <w:rFonts w:asciiTheme="majorHAnsi" w:hAnsiTheme="majorHAnsi"/>
                <w:szCs w:val="20"/>
              </w:rPr>
              <w:lastRenderedPageBreak/>
              <w:t>Infection prevention against B hepatitis virus, HIV virus</w:t>
            </w:r>
          </w:p>
          <w:p w:rsidR="0089316A" w:rsidRPr="000907BA" w:rsidRDefault="0089316A" w:rsidP="00BE5037">
            <w:pPr>
              <w:spacing w:line="240" w:lineRule="auto"/>
              <w:jc w:val="both"/>
              <w:rPr>
                <w:rFonts w:asciiTheme="majorHAnsi" w:hAnsiTheme="majorHAnsi"/>
                <w:szCs w:val="20"/>
              </w:rPr>
            </w:pPr>
            <w:r w:rsidRPr="00530F76">
              <w:rPr>
                <w:rFonts w:asciiTheme="majorHAnsi" w:hAnsiTheme="majorHAnsi"/>
                <w:szCs w:val="20"/>
              </w:rPr>
              <w:t>Prevention maneuvres</w:t>
            </w:r>
            <w:r>
              <w:rPr>
                <w:rFonts w:asciiTheme="majorHAnsi" w:hAnsiTheme="majorHAnsi"/>
                <w:szCs w:val="20"/>
              </w:rPr>
              <w:t xml:space="preserve">. </w:t>
            </w:r>
            <w:r w:rsidRPr="00530F76">
              <w:rPr>
                <w:rFonts w:asciiTheme="majorHAnsi" w:hAnsiTheme="majorHAnsi"/>
                <w:szCs w:val="20"/>
              </w:rPr>
              <w:t>Methods of individual protection for medical staff:</w:t>
            </w:r>
            <w:r>
              <w:rPr>
                <w:rFonts w:asciiTheme="majorHAnsi" w:hAnsiTheme="majorHAnsi"/>
                <w:szCs w:val="20"/>
              </w:rPr>
              <w:t xml:space="preserve"> </w:t>
            </w:r>
            <w:r w:rsidRPr="00530F76">
              <w:rPr>
                <w:rFonts w:asciiTheme="majorHAnsi" w:hAnsiTheme="majorHAnsi"/>
                <w:szCs w:val="20"/>
              </w:rPr>
              <w:t>Examination gloves, protective masks. Protective eyewear</w:t>
            </w:r>
            <w:r>
              <w:rPr>
                <w:rFonts w:asciiTheme="majorHAnsi" w:hAnsiTheme="majorHAnsi"/>
                <w:szCs w:val="20"/>
              </w:rPr>
              <w:t xml:space="preserve">. </w:t>
            </w:r>
            <w:r w:rsidRPr="00530F76">
              <w:rPr>
                <w:rFonts w:asciiTheme="majorHAnsi" w:hAnsiTheme="majorHAnsi"/>
                <w:szCs w:val="20"/>
              </w:rPr>
              <w:t>Protective apron</w:t>
            </w:r>
            <w:r>
              <w:rPr>
                <w:rFonts w:asciiTheme="majorHAnsi" w:hAnsiTheme="majorHAnsi"/>
                <w:szCs w:val="20"/>
              </w:rPr>
              <w:t>.</w:t>
            </w:r>
            <w:r>
              <w:t xml:space="preserve"> Principles of drug administration</w:t>
            </w:r>
          </w:p>
        </w:tc>
        <w:tc>
          <w:tcPr>
            <w:tcW w:w="1962"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szCs w:val="20"/>
                <w:lang w:bidi="ne-NP"/>
              </w:rPr>
              <w:lastRenderedPageBreak/>
              <w:t xml:space="preserve">Case solvings, </w:t>
            </w:r>
            <w:r w:rsidRPr="00530F76">
              <w:rPr>
                <w:rFonts w:asciiTheme="majorHAnsi" w:hAnsiTheme="majorHAnsi"/>
                <w:szCs w:val="20"/>
                <w:lang w:bidi="ne-NP"/>
              </w:rPr>
              <w:lastRenderedPageBreak/>
              <w:t>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lastRenderedPageBreak/>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730232"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2</w:t>
            </w:r>
          </w:p>
        </w:tc>
        <w:tc>
          <w:tcPr>
            <w:tcW w:w="6070" w:type="dxa"/>
            <w:shd w:val="clear" w:color="auto" w:fill="auto"/>
          </w:tcPr>
          <w:p w:rsidR="0089316A" w:rsidRPr="000907BA" w:rsidRDefault="0089316A" w:rsidP="00BE5037">
            <w:pPr>
              <w:spacing w:line="240" w:lineRule="auto"/>
            </w:pPr>
            <w:r>
              <w:t>The need to have adequate circulation, to feed and hydrate, to eliminate, to breathe, to maintain its temperature within normal limits. The need to move and have a correct position</w:t>
            </w:r>
          </w:p>
        </w:tc>
        <w:tc>
          <w:tcPr>
            <w:tcW w:w="1962"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szCs w:val="20"/>
                <w:lang w:bidi="ne-NP"/>
              </w:rPr>
              <w:t>Case solvings,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730232"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70" w:type="dxa"/>
            <w:shd w:val="clear" w:color="auto" w:fill="auto"/>
          </w:tcPr>
          <w:p w:rsidR="0089316A" w:rsidRPr="000907BA" w:rsidRDefault="0089316A" w:rsidP="00BE5037">
            <w:pPr>
              <w:spacing w:line="240" w:lineRule="auto"/>
            </w:pPr>
            <w:r>
              <w:t xml:space="preserve"> Principles of care in burns.</w:t>
            </w:r>
          </w:p>
        </w:tc>
        <w:tc>
          <w:tcPr>
            <w:tcW w:w="1962"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szCs w:val="20"/>
                <w:lang w:bidi="ne-NP"/>
              </w:rPr>
              <w:t>Case solvings,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730232"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70" w:type="dxa"/>
            <w:shd w:val="clear" w:color="auto" w:fill="auto"/>
          </w:tcPr>
          <w:p w:rsidR="0089316A" w:rsidRPr="000907BA" w:rsidRDefault="0089316A" w:rsidP="00BE5037">
            <w:pPr>
              <w:spacing w:line="240" w:lineRule="auto"/>
            </w:pPr>
            <w:r>
              <w:t>Care techniques in sprains, dislocations, fractures</w:t>
            </w:r>
          </w:p>
        </w:tc>
        <w:tc>
          <w:tcPr>
            <w:tcW w:w="1962"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szCs w:val="20"/>
                <w:lang w:bidi="ne-NP"/>
              </w:rPr>
              <w:t>Case solvings, explanations</w:t>
            </w:r>
          </w:p>
        </w:tc>
        <w:tc>
          <w:tcPr>
            <w:tcW w:w="1428" w:type="dxa"/>
            <w:shd w:val="clear" w:color="auto" w:fill="auto"/>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 hours</w:t>
            </w:r>
          </w:p>
        </w:tc>
      </w:tr>
      <w:tr w:rsidR="0089316A" w:rsidRPr="00730232"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70" w:type="dxa"/>
            <w:shd w:val="clear" w:color="auto" w:fill="auto"/>
          </w:tcPr>
          <w:p w:rsidR="0089316A" w:rsidRDefault="0089316A" w:rsidP="00BE5037">
            <w:pPr>
              <w:spacing w:line="240" w:lineRule="auto"/>
            </w:pPr>
            <w:r>
              <w:t>Principles of care for spinal injuries</w:t>
            </w:r>
          </w:p>
          <w:p w:rsidR="0089316A" w:rsidRPr="003F41AF" w:rsidRDefault="0089316A" w:rsidP="00BE5037">
            <w:pPr>
              <w:spacing w:line="240" w:lineRule="auto"/>
              <w:jc w:val="both"/>
              <w:rPr>
                <w:rFonts w:asciiTheme="majorHAnsi" w:hAnsiTheme="majorHAnsi"/>
                <w:szCs w:val="20"/>
              </w:rPr>
            </w:pPr>
          </w:p>
        </w:tc>
        <w:tc>
          <w:tcPr>
            <w:tcW w:w="1962"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szCs w:val="20"/>
                <w:lang w:bidi="ne-NP"/>
              </w:rPr>
              <w:t>Case solvings,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r w:rsidR="0089316A" w:rsidRPr="00730232" w:rsidTr="0089316A">
        <w:tc>
          <w:tcPr>
            <w:tcW w:w="451" w:type="dxa"/>
            <w:shd w:val="clear" w:color="auto" w:fill="auto"/>
            <w:vAlign w:val="center"/>
          </w:tcPr>
          <w:p w:rsidR="0089316A" w:rsidRPr="00730232" w:rsidRDefault="0089316A" w:rsidP="00BE50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70" w:type="dxa"/>
            <w:shd w:val="clear" w:color="auto" w:fill="auto"/>
          </w:tcPr>
          <w:p w:rsidR="0089316A" w:rsidRDefault="0089316A" w:rsidP="00BE5037">
            <w:pPr>
              <w:spacing w:line="240" w:lineRule="auto"/>
            </w:pPr>
            <w:r>
              <w:t>Principles of care in cranio-cerebral traumas</w:t>
            </w:r>
          </w:p>
          <w:p w:rsidR="0089316A" w:rsidRPr="003F41AF" w:rsidRDefault="0089316A" w:rsidP="00BE5037">
            <w:pPr>
              <w:spacing w:line="240" w:lineRule="auto"/>
              <w:jc w:val="both"/>
              <w:rPr>
                <w:rFonts w:asciiTheme="majorHAnsi" w:hAnsiTheme="majorHAnsi"/>
                <w:szCs w:val="20"/>
              </w:rPr>
            </w:pPr>
          </w:p>
        </w:tc>
        <w:tc>
          <w:tcPr>
            <w:tcW w:w="1962"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szCs w:val="20"/>
                <w:lang w:bidi="ne-NP"/>
              </w:rPr>
              <w:t>Case solvings, explanations</w:t>
            </w:r>
          </w:p>
        </w:tc>
        <w:tc>
          <w:tcPr>
            <w:tcW w:w="1428" w:type="dxa"/>
            <w:shd w:val="clear" w:color="auto" w:fill="auto"/>
          </w:tcPr>
          <w:p w:rsidR="0089316A" w:rsidRPr="00530F76" w:rsidRDefault="0089316A" w:rsidP="00BE5037">
            <w:pPr>
              <w:spacing w:line="240" w:lineRule="auto"/>
              <w:rPr>
                <w:rFonts w:asciiTheme="majorHAnsi" w:hAnsiTheme="majorHAnsi"/>
                <w:bCs/>
                <w:szCs w:val="20"/>
                <w:lang w:val="en-US"/>
              </w:rPr>
            </w:pPr>
            <w:r w:rsidRPr="00530F76">
              <w:rPr>
                <w:rFonts w:asciiTheme="majorHAnsi" w:hAnsiTheme="majorHAnsi"/>
                <w:bCs/>
                <w:szCs w:val="20"/>
                <w:lang w:val="en-US"/>
              </w:rPr>
              <w:t>2</w:t>
            </w:r>
            <w:r>
              <w:rPr>
                <w:rFonts w:asciiTheme="majorHAnsi" w:hAnsiTheme="majorHAnsi"/>
                <w:bCs/>
                <w:szCs w:val="20"/>
                <w:lang w:val="en-US"/>
              </w:rPr>
              <w:t xml:space="preserve"> </w:t>
            </w:r>
            <w:r w:rsidRPr="00530F76">
              <w:rPr>
                <w:rFonts w:asciiTheme="majorHAnsi" w:hAnsiTheme="majorHAnsi"/>
                <w:bCs/>
                <w:szCs w:val="20"/>
                <w:lang w:val="en-US"/>
              </w:rPr>
              <w:t>h</w:t>
            </w:r>
            <w:r>
              <w:rPr>
                <w:rFonts w:asciiTheme="majorHAnsi" w:hAnsiTheme="majorHAnsi"/>
                <w:bCs/>
                <w:szCs w:val="20"/>
                <w:lang w:val="en-US"/>
              </w:rPr>
              <w:t>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4F55C4"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BE5037">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610920" w:rsidRPr="00610920" w:rsidRDefault="00610920" w:rsidP="00BE5037">
            <w:pPr>
              <w:pStyle w:val="ListParagraph"/>
              <w:numPr>
                <w:ilvl w:val="0"/>
                <w:numId w:val="7"/>
              </w:numPr>
              <w:autoSpaceDE w:val="0"/>
              <w:autoSpaceDN w:val="0"/>
              <w:adjustRightInd w:val="0"/>
              <w:spacing w:line="240" w:lineRule="auto"/>
              <w:rPr>
                <w:rFonts w:asciiTheme="majorHAnsi" w:hAnsiTheme="majorHAnsi" w:cs="TimesNewRoman,Bold"/>
                <w:bCs/>
                <w:szCs w:val="20"/>
                <w:lang w:bidi="ne-NP"/>
              </w:rPr>
            </w:pPr>
            <w:r>
              <w:rPr>
                <w:rFonts w:cs="Arial"/>
                <w:szCs w:val="20"/>
                <w:lang w:eastAsia="ro-RO"/>
              </w:rPr>
              <w:t>Course and practical works notes posted on e-Learning platform</w:t>
            </w:r>
          </w:p>
          <w:p w:rsidR="000623F1" w:rsidRPr="004F55C4" w:rsidRDefault="00610920" w:rsidP="00BE50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C</w:t>
            </w:r>
            <w:r w:rsidR="0089316A" w:rsidRPr="004F55C4">
              <w:rPr>
                <w:rFonts w:asciiTheme="majorHAnsi" w:hAnsiTheme="majorHAnsi" w:cs="TimesNewRoman,Bold"/>
                <w:bCs/>
                <w:szCs w:val="20"/>
                <w:lang w:bidi="ne-NP"/>
              </w:rPr>
              <w:t>ovali, R. Nursing pentru studentii Facultatii</w:t>
            </w:r>
            <w:r w:rsidR="000623F1" w:rsidRPr="004F55C4">
              <w:rPr>
                <w:rFonts w:asciiTheme="majorHAnsi" w:hAnsiTheme="majorHAnsi" w:cs="TimesNewRoman,Bold"/>
                <w:bCs/>
                <w:szCs w:val="20"/>
                <w:lang w:bidi="ne-NP"/>
              </w:rPr>
              <w:t xml:space="preserve"> </w:t>
            </w:r>
            <w:r w:rsidR="0089316A" w:rsidRPr="004F55C4">
              <w:rPr>
                <w:rFonts w:asciiTheme="majorHAnsi" w:hAnsiTheme="majorHAnsi" w:cs="TimesNewRoman,Bold"/>
                <w:bCs/>
                <w:szCs w:val="20"/>
                <w:lang w:bidi="ne-NP"/>
              </w:rPr>
              <w:t>de Bioinginerie Medicala. Editura Stef, I</w:t>
            </w:r>
            <w:r w:rsidR="000623F1" w:rsidRPr="004F55C4">
              <w:rPr>
                <w:rFonts w:asciiTheme="majorHAnsi" w:hAnsiTheme="majorHAnsi" w:cs="TimesNewRoman,Bold"/>
                <w:bCs/>
                <w:szCs w:val="20"/>
                <w:lang w:bidi="ne-NP"/>
              </w:rPr>
              <w:t>asi, 2019</w:t>
            </w:r>
          </w:p>
          <w:p w:rsidR="000623F1" w:rsidRPr="004F55C4" w:rsidRDefault="00610920" w:rsidP="00BE5037">
            <w:pPr>
              <w:autoSpaceDE w:val="0"/>
              <w:autoSpaceDN w:val="0"/>
              <w:adjustRightInd w:val="0"/>
              <w:spacing w:line="240" w:lineRule="auto"/>
              <w:rPr>
                <w:rFonts w:asciiTheme="majorHAnsi" w:hAnsiTheme="majorHAnsi" w:cs="Arial"/>
                <w:color w:val="000000"/>
                <w:szCs w:val="20"/>
              </w:rPr>
            </w:pPr>
            <w:r>
              <w:rPr>
                <w:rFonts w:asciiTheme="majorHAnsi" w:hAnsiTheme="majorHAnsi" w:cs="TimesNewRoman,Bold"/>
                <w:bCs/>
                <w:szCs w:val="20"/>
                <w:lang w:bidi="ne-NP"/>
              </w:rPr>
              <w:t>3</w:t>
            </w:r>
            <w:r w:rsidR="0089316A" w:rsidRPr="004F55C4">
              <w:rPr>
                <w:rFonts w:asciiTheme="majorHAnsi" w:hAnsiTheme="majorHAnsi" w:cs="TimesNewRoman,Bold"/>
                <w:bCs/>
                <w:szCs w:val="20"/>
                <w:lang w:bidi="ne-NP"/>
              </w:rPr>
              <w:t>.</w:t>
            </w:r>
            <w:r w:rsidR="000623F1" w:rsidRPr="004F55C4">
              <w:rPr>
                <w:rFonts w:asciiTheme="majorHAnsi" w:hAnsiTheme="majorHAnsi" w:cs="Arial"/>
                <w:color w:val="000000"/>
                <w:szCs w:val="20"/>
                <w:shd w:val="clear" w:color="auto" w:fill="FFFFFF"/>
              </w:rPr>
              <w:t xml:space="preserve"> Ball, J., Dains, J., Flynn, J., Solomon, B., Stewart, R. </w:t>
            </w:r>
            <w:r w:rsidR="000623F1" w:rsidRPr="004F55C4">
              <w:rPr>
                <w:rFonts w:asciiTheme="majorHAnsi" w:hAnsiTheme="majorHAnsi" w:cs="Arial"/>
                <w:color w:val="000000"/>
                <w:szCs w:val="20"/>
              </w:rPr>
              <w:t>Seidel's Guide to Physical Examination An Interprofessional Approach, Elsevier, 2023.</w:t>
            </w:r>
          </w:p>
          <w:p w:rsidR="000623F1" w:rsidRPr="004F55C4" w:rsidRDefault="00610920" w:rsidP="00BE5037">
            <w:pPr>
              <w:autoSpaceDE w:val="0"/>
              <w:autoSpaceDN w:val="0"/>
              <w:adjustRightInd w:val="0"/>
              <w:spacing w:line="240" w:lineRule="auto"/>
              <w:rPr>
                <w:rFonts w:asciiTheme="majorHAnsi" w:hAnsiTheme="majorHAnsi" w:cs="Arial"/>
                <w:color w:val="000000"/>
                <w:szCs w:val="20"/>
              </w:rPr>
            </w:pPr>
            <w:r>
              <w:rPr>
                <w:rFonts w:asciiTheme="majorHAnsi" w:hAnsiTheme="majorHAnsi" w:cs="TimesNewRoman,Bold"/>
                <w:bCs/>
                <w:szCs w:val="20"/>
                <w:lang w:bidi="ne-NP"/>
              </w:rPr>
              <w:t>4</w:t>
            </w:r>
            <w:r w:rsidR="0089316A" w:rsidRPr="004F55C4">
              <w:rPr>
                <w:rFonts w:asciiTheme="majorHAnsi" w:hAnsiTheme="majorHAnsi" w:cs="TimesNewRoman,Bold"/>
                <w:bCs/>
                <w:szCs w:val="20"/>
                <w:lang w:bidi="ne-NP"/>
              </w:rPr>
              <w:t>.</w:t>
            </w:r>
            <w:r w:rsidR="000623F1" w:rsidRPr="004F55C4">
              <w:rPr>
                <w:rFonts w:asciiTheme="majorHAnsi" w:hAnsiTheme="majorHAnsi" w:cs="Arial"/>
                <w:color w:val="000000"/>
                <w:szCs w:val="20"/>
                <w:shd w:val="clear" w:color="auto" w:fill="FFFFFF"/>
              </w:rPr>
              <w:t xml:space="preserve"> Makic, M.B.F., Martinez-Kratz, M.R. </w:t>
            </w:r>
            <w:r w:rsidR="000623F1" w:rsidRPr="004F55C4">
              <w:rPr>
                <w:rFonts w:asciiTheme="majorHAnsi" w:hAnsiTheme="majorHAnsi" w:cs="Arial"/>
                <w:color w:val="000000"/>
                <w:szCs w:val="20"/>
              </w:rPr>
              <w:t>Ackley and Ladwig’s Nursing Diagnosis Handbook, An Evidence-Based Guide to Planning Care. Elsevier, 2023.</w:t>
            </w:r>
          </w:p>
          <w:p w:rsidR="004F55C4" w:rsidRPr="004F55C4" w:rsidRDefault="00610920" w:rsidP="00BE5037">
            <w:pPr>
              <w:autoSpaceDE w:val="0"/>
              <w:autoSpaceDN w:val="0"/>
              <w:adjustRightInd w:val="0"/>
              <w:spacing w:line="240" w:lineRule="auto"/>
              <w:rPr>
                <w:rFonts w:asciiTheme="majorHAnsi" w:hAnsiTheme="majorHAnsi" w:cs="Arial"/>
                <w:color w:val="000000"/>
                <w:szCs w:val="20"/>
              </w:rPr>
            </w:pPr>
            <w:r>
              <w:rPr>
                <w:rFonts w:asciiTheme="majorHAnsi" w:hAnsiTheme="majorHAnsi" w:cs="TimesNewRoman,Bold"/>
                <w:bCs/>
                <w:szCs w:val="20"/>
                <w:lang w:bidi="ne-NP"/>
              </w:rPr>
              <w:t>5</w:t>
            </w:r>
            <w:r w:rsidR="0089316A" w:rsidRPr="004F55C4">
              <w:rPr>
                <w:rFonts w:asciiTheme="majorHAnsi" w:hAnsiTheme="majorHAnsi" w:cs="TimesNewRoman,Bold"/>
                <w:bCs/>
                <w:szCs w:val="20"/>
                <w:lang w:bidi="ne-NP"/>
              </w:rPr>
              <w:t>.</w:t>
            </w:r>
            <w:r w:rsidR="000623F1" w:rsidRPr="004F55C4">
              <w:rPr>
                <w:rFonts w:asciiTheme="majorHAnsi" w:hAnsiTheme="majorHAnsi" w:cs="TimesNewRoman,Bold"/>
                <w:bCs/>
                <w:szCs w:val="20"/>
                <w:lang w:bidi="ne-NP"/>
              </w:rPr>
              <w:t xml:space="preserve"> Schwartz, R. </w:t>
            </w:r>
            <w:r w:rsidR="000623F1" w:rsidRPr="004F55C4">
              <w:rPr>
                <w:rFonts w:asciiTheme="majorHAnsi" w:hAnsiTheme="majorHAnsi" w:cs="Arial"/>
                <w:color w:val="000000"/>
                <w:szCs w:val="20"/>
              </w:rPr>
              <w:t>Clinical Skills A Nurse's Pocket Guide. Elsevier, 2022.</w:t>
            </w:r>
          </w:p>
          <w:p w:rsidR="0089316A" w:rsidRPr="004F55C4" w:rsidRDefault="00610920" w:rsidP="00BE50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w:t>
            </w:r>
            <w:r w:rsidR="0089316A" w:rsidRPr="004F55C4">
              <w:rPr>
                <w:rFonts w:asciiTheme="majorHAnsi" w:hAnsiTheme="majorHAnsi" w:cs="TimesNewRoman,Bold"/>
                <w:bCs/>
                <w:szCs w:val="20"/>
                <w:lang w:bidi="ne-NP"/>
              </w:rPr>
              <w:t>.</w:t>
            </w:r>
            <w:r w:rsidR="000623F1" w:rsidRPr="004F55C4">
              <w:rPr>
                <w:rFonts w:asciiTheme="majorHAnsi" w:hAnsiTheme="majorHAnsi" w:cs="TimesNewRoman,Bold"/>
                <w:bCs/>
                <w:szCs w:val="20"/>
                <w:lang w:bidi="ne-NP"/>
              </w:rPr>
              <w:t xml:space="preserve"> </w:t>
            </w:r>
            <w:r w:rsidR="004F55C4" w:rsidRPr="004F55C4">
              <w:rPr>
                <w:rFonts w:asciiTheme="majorHAnsi" w:hAnsiTheme="majorHAnsi" w:cs="TimesNewRoman,Bold"/>
                <w:bCs/>
                <w:szCs w:val="20"/>
                <w:lang w:bidi="ne-NP"/>
              </w:rPr>
              <w:t xml:space="preserve">Jarvis, C. </w:t>
            </w:r>
            <w:r w:rsidR="004F55C4" w:rsidRPr="004F55C4">
              <w:rPr>
                <w:rFonts w:asciiTheme="majorHAnsi" w:hAnsiTheme="majorHAnsi" w:cs="Arial"/>
                <w:color w:val="000000"/>
                <w:szCs w:val="20"/>
              </w:rPr>
              <w:t>Laboratory Manual for Physical Examination &amp; Health Assessment</w:t>
            </w:r>
            <w:r w:rsidR="004F55C4">
              <w:rPr>
                <w:rFonts w:asciiTheme="majorHAnsi" w:hAnsiTheme="majorHAnsi" w:cs="Arial"/>
                <w:color w:val="000000"/>
                <w:szCs w:val="20"/>
              </w:rPr>
              <w:t>, Elsevier, 2020.</w:t>
            </w:r>
          </w:p>
        </w:tc>
      </w:tr>
      <w:tr w:rsidR="000C7BDB" w:rsidTr="002326CD">
        <w:tc>
          <w:tcPr>
            <w:tcW w:w="10044" w:type="dxa"/>
          </w:tcPr>
          <w:p w:rsidR="000C7BDB" w:rsidRDefault="000C7BDB" w:rsidP="00BE5037">
            <w:pPr>
              <w:autoSpaceDE w:val="0"/>
              <w:autoSpaceDN w:val="0"/>
              <w:adjustRightInd w:val="0"/>
              <w:spacing w:line="240" w:lineRule="auto"/>
              <w:rPr>
                <w:rFonts w:asciiTheme="majorHAnsi" w:hAnsiTheme="majorHAnsi" w:cs="TimesNewRoman,Bold"/>
                <w:b/>
                <w:bCs/>
                <w:i/>
                <w:szCs w:val="20"/>
                <w:lang w:bidi="ne-NP"/>
              </w:rPr>
            </w:pPr>
          </w:p>
        </w:tc>
      </w:tr>
    </w:tbl>
    <w:p w:rsidR="00240907" w:rsidRPr="00D750EE" w:rsidRDefault="00240907" w:rsidP="00BE5037">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BE5037">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4F55C4" w:rsidRDefault="004F55C4" w:rsidP="00BE5037">
            <w:pPr>
              <w:pStyle w:val="Heading1"/>
              <w:shd w:val="clear" w:color="auto" w:fill="FFFFFF"/>
              <w:spacing w:before="0" w:line="240" w:lineRule="auto"/>
              <w:outlineLvl w:val="0"/>
              <w:rPr>
                <w:rFonts w:asciiTheme="majorHAnsi" w:hAnsiTheme="majorHAnsi" w:cs="Arial"/>
                <w:b w:val="0"/>
                <w:color w:val="000000"/>
                <w:sz w:val="20"/>
                <w:szCs w:val="20"/>
              </w:rPr>
            </w:pPr>
            <w:r>
              <w:rPr>
                <w:rFonts w:asciiTheme="majorHAnsi" w:hAnsiTheme="majorHAnsi" w:cs="Arial"/>
                <w:b w:val="0"/>
                <w:color w:val="000000"/>
                <w:sz w:val="20"/>
                <w:szCs w:val="20"/>
                <w:shd w:val="clear" w:color="auto" w:fill="FFFFFF"/>
              </w:rPr>
              <w:t>1.</w:t>
            </w:r>
            <w:r w:rsidRPr="004F55C4">
              <w:rPr>
                <w:rFonts w:asciiTheme="majorHAnsi" w:hAnsiTheme="majorHAnsi" w:cs="Arial"/>
                <w:b w:val="0"/>
                <w:color w:val="000000"/>
                <w:sz w:val="20"/>
                <w:szCs w:val="20"/>
                <w:shd w:val="clear" w:color="auto" w:fill="FFFFFF"/>
              </w:rPr>
              <w:t xml:space="preserve">Lister, S., Hofland, J., Grafton, H. </w:t>
            </w:r>
            <w:r w:rsidRPr="004F55C4">
              <w:rPr>
                <w:rFonts w:asciiTheme="majorHAnsi" w:hAnsiTheme="majorHAnsi" w:cs="Arial"/>
                <w:b w:val="0"/>
                <w:color w:val="000000"/>
                <w:sz w:val="20"/>
                <w:szCs w:val="20"/>
              </w:rPr>
              <w:t>The Royal Marsden Manual of Clinical Nursing Procedures</w:t>
            </w:r>
            <w:r>
              <w:rPr>
                <w:rFonts w:asciiTheme="majorHAnsi" w:hAnsiTheme="majorHAnsi" w:cs="Arial"/>
                <w:b w:val="0"/>
                <w:color w:val="000000"/>
                <w:sz w:val="20"/>
                <w:szCs w:val="20"/>
              </w:rPr>
              <w:t>. Wiley, 2020</w:t>
            </w:r>
          </w:p>
          <w:p w:rsidR="0089316A" w:rsidRPr="0089316A" w:rsidRDefault="004F55C4" w:rsidP="00BE5037">
            <w:pPr>
              <w:pStyle w:val="Heading1"/>
              <w:shd w:val="clear" w:color="auto" w:fill="FFFFFF"/>
              <w:spacing w:before="0" w:line="240" w:lineRule="auto"/>
              <w:outlineLvl w:val="0"/>
              <w:rPr>
                <w:rFonts w:asciiTheme="majorHAnsi" w:hAnsiTheme="majorHAnsi"/>
                <w:bCs/>
                <w:szCs w:val="20"/>
                <w:lang w:val="it-IT"/>
              </w:rPr>
            </w:pPr>
            <w:r>
              <w:rPr>
                <w:rFonts w:asciiTheme="majorHAnsi" w:hAnsiTheme="majorHAnsi"/>
                <w:b w:val="0"/>
                <w:bCs/>
                <w:sz w:val="20"/>
                <w:szCs w:val="20"/>
                <w:lang w:val="it-IT"/>
              </w:rPr>
              <w:t>2.</w:t>
            </w:r>
            <w:r w:rsidRPr="004F55C4">
              <w:rPr>
                <w:rFonts w:asciiTheme="majorHAnsi" w:hAnsiTheme="majorHAnsi"/>
                <w:b w:val="0"/>
                <w:bCs/>
                <w:sz w:val="20"/>
                <w:szCs w:val="20"/>
                <w:lang w:val="it-IT"/>
              </w:rPr>
              <w:t xml:space="preserve">Jarvis, C. </w:t>
            </w:r>
            <w:r w:rsidRPr="004F55C4">
              <w:rPr>
                <w:rFonts w:asciiTheme="majorHAnsi" w:hAnsiTheme="majorHAnsi" w:cs="Arial"/>
                <w:b w:val="0"/>
                <w:color w:val="000000"/>
                <w:sz w:val="20"/>
                <w:szCs w:val="20"/>
              </w:rPr>
              <w:t>Pocket Companion for Physical Examination and Health Assessment</w:t>
            </w:r>
            <w:r>
              <w:rPr>
                <w:rFonts w:asciiTheme="majorHAnsi" w:hAnsiTheme="majorHAnsi" w:cs="Arial"/>
                <w:b w:val="0"/>
                <w:color w:val="000000"/>
                <w:sz w:val="20"/>
                <w:szCs w:val="20"/>
              </w:rPr>
              <w:t>. Elsevier, 2020</w:t>
            </w:r>
          </w:p>
        </w:tc>
      </w:tr>
      <w:tr w:rsidR="00830AAE" w:rsidTr="000657D1">
        <w:tc>
          <w:tcPr>
            <w:tcW w:w="10044" w:type="dxa"/>
          </w:tcPr>
          <w:p w:rsidR="00830AAE" w:rsidRDefault="00830AAE" w:rsidP="00BE5037">
            <w:pPr>
              <w:spacing w:line="240" w:lineRule="auto"/>
              <w:jc w:val="both"/>
              <w:rPr>
                <w:rFonts w:asciiTheme="majorHAnsi" w:hAnsiTheme="majorHAnsi"/>
                <w:b/>
                <w:bCs/>
                <w:i/>
                <w:szCs w:val="20"/>
                <w:lang w:val="it-IT"/>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BE503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BE503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BE503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BE5037">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BE50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BE5037">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E503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BE5037">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E503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BE5037">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BE503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BE50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E65D16" w:rsidRDefault="004F1D75" w:rsidP="00BE5037">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530F76">
              <w:rPr>
                <w:rFonts w:asciiTheme="majorHAnsi" w:hAnsiTheme="majorHAnsi" w:cs="TimesNewRoman"/>
                <w:szCs w:val="20"/>
                <w:lang w:bidi="ne-NP"/>
              </w:rPr>
              <w:t>Knowing the first aid maneuvres</w:t>
            </w:r>
          </w:p>
          <w:p w:rsidR="00E65D16" w:rsidRPr="00D91AB7" w:rsidRDefault="004F1D75" w:rsidP="00BE5037">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530F76">
              <w:rPr>
                <w:rFonts w:asciiTheme="majorHAnsi" w:hAnsiTheme="majorHAnsi" w:cs="TimesNewRoman"/>
                <w:szCs w:val="20"/>
                <w:lang w:bidi="ne-NP"/>
              </w:rPr>
              <w:t xml:space="preserve">Knowing the </w:t>
            </w:r>
            <w:r w:rsidR="00610920">
              <w:t>care techniques in sprains, dislocations, fractures</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052B63" w:rsidRDefault="00052B63"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8B5920"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4C71B6">
              <w:rPr>
                <w:rFonts w:asciiTheme="majorHAnsi" w:hAnsiTheme="majorHAnsi" w:cs="TimesNewRoman"/>
                <w:szCs w:val="20"/>
                <w:lang w:bidi="ne-NP"/>
              </w:rPr>
              <w:t>.2024</w:t>
            </w:r>
          </w:p>
        </w:tc>
        <w:tc>
          <w:tcPr>
            <w:tcW w:w="3870" w:type="dxa"/>
          </w:tcPr>
          <w:p w:rsidR="001C6702" w:rsidRPr="008B5920" w:rsidRDefault="008B5920" w:rsidP="00AB2E3B">
            <w:pPr>
              <w:autoSpaceDE w:val="0"/>
              <w:autoSpaceDN w:val="0"/>
              <w:adjustRightInd w:val="0"/>
              <w:rPr>
                <w:rFonts w:asciiTheme="majorHAnsi" w:hAnsiTheme="majorHAnsi" w:cs="TimesNewRoman"/>
                <w:szCs w:val="20"/>
                <w:lang w:bidi="ne-NP"/>
              </w:rPr>
            </w:pPr>
            <w:r w:rsidRPr="008B5920">
              <w:rPr>
                <w:rFonts w:asciiTheme="majorHAnsi" w:hAnsiTheme="majorHAnsi" w:cs="TimesNewRoman"/>
                <w:szCs w:val="20"/>
                <w:lang w:bidi="ne-NP"/>
              </w:rPr>
              <w:t>Lecturer Andreea Moraru, MD, PhD</w:t>
            </w:r>
          </w:p>
        </w:tc>
        <w:tc>
          <w:tcPr>
            <w:tcW w:w="4176" w:type="dxa"/>
          </w:tcPr>
          <w:p w:rsidR="001C6702" w:rsidRPr="008B5920" w:rsidRDefault="008B5920" w:rsidP="00AB2E3B">
            <w:pPr>
              <w:autoSpaceDE w:val="0"/>
              <w:autoSpaceDN w:val="0"/>
              <w:adjustRightInd w:val="0"/>
              <w:rPr>
                <w:rFonts w:asciiTheme="majorHAnsi" w:hAnsiTheme="majorHAnsi" w:cs="TimesNewRoman"/>
                <w:szCs w:val="20"/>
                <w:lang w:bidi="ne-NP"/>
              </w:rPr>
            </w:pPr>
            <w:r w:rsidRPr="008B5920">
              <w:rPr>
                <w:rFonts w:asciiTheme="majorHAnsi" w:hAnsiTheme="majorHAnsi" w:cs="TimesNewRoman"/>
                <w:szCs w:val="20"/>
                <w:lang w:bidi="ne-NP"/>
              </w:rPr>
              <w:t>Lecturer Andreea Moraru, MD, PhD</w:t>
            </w:r>
          </w:p>
        </w:tc>
      </w:tr>
    </w:tbl>
    <w:p w:rsidR="000C7BDB" w:rsidRDefault="00EE4AAC"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8B5920" w:rsidRDefault="00EE4AAC" w:rsidP="00CF6B2D">
      <w:pPr>
        <w:autoSpaceDE w:val="0"/>
        <w:autoSpaceDN w:val="0"/>
        <w:adjustRightInd w:val="0"/>
        <w:rPr>
          <w:noProof/>
          <w:lang w:val="en-US"/>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EE4AAC"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8B5920"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8B5920" w:rsidRDefault="008B5920" w:rsidP="00CF6B2D">
      <w:pPr>
        <w:autoSpaceDE w:val="0"/>
        <w:autoSpaceDN w:val="0"/>
        <w:adjustRightInd w:val="0"/>
        <w:rPr>
          <w:rFonts w:asciiTheme="majorHAnsi" w:hAnsiTheme="majorHAnsi" w:cs="TimesNewRoman"/>
          <w:szCs w:val="20"/>
          <w:lang w:bidi="ne-NP"/>
        </w:rPr>
      </w:pPr>
    </w:p>
    <w:p w:rsidR="008B5920" w:rsidRDefault="008B592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0C7BDB" w:rsidP="000C7BDB">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4C71B6"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8B5920">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5013D1"/>
        </w:tc>
        <w:tc>
          <w:tcPr>
            <w:tcW w:w="4549" w:type="dxa"/>
          </w:tcPr>
          <w:p w:rsidR="00EE4AAC" w:rsidRPr="00EE4AAC" w:rsidRDefault="00EE4AAC" w:rsidP="00EE4AAC">
            <w:pPr>
              <w:spacing w:line="276" w:lineRule="auto"/>
              <w:jc w:val="center"/>
              <w:rPr>
                <w:rFonts w:asciiTheme="minorHAnsi" w:hAnsiTheme="minorHAnsi" w:cs="Times New Roman"/>
                <w:szCs w:val="20"/>
                <w:lang w:val="en-US"/>
              </w:rPr>
            </w:pPr>
            <w:r w:rsidRPr="00EE4AAC">
              <w:rPr>
                <w:rFonts w:asciiTheme="minorHAnsi" w:hAnsiTheme="minorHAnsi"/>
                <w:bCs/>
                <w:szCs w:val="20"/>
              </w:rPr>
              <w:t>Associate Professor</w:t>
            </w:r>
            <w:r w:rsidRPr="00EE4AAC">
              <w:rPr>
                <w:rFonts w:asciiTheme="minorHAnsi" w:hAnsiTheme="minorHAnsi" w:cs="Times New Roman"/>
                <w:szCs w:val="20"/>
                <w:lang w:val="en-US"/>
              </w:rPr>
              <w:t xml:space="preserve"> Daniela-</w:t>
            </w:r>
            <w:proofErr w:type="spellStart"/>
            <w:r w:rsidRPr="00EE4AAC">
              <w:rPr>
                <w:rFonts w:asciiTheme="minorHAnsi" w:hAnsiTheme="minorHAnsi" w:cs="Times New Roman"/>
                <w:szCs w:val="20"/>
                <w:lang w:val="en-US"/>
              </w:rPr>
              <w:t>Viorelia</w:t>
            </w:r>
            <w:proofErr w:type="spellEnd"/>
            <w:r w:rsidRPr="00EE4AAC">
              <w:rPr>
                <w:rFonts w:asciiTheme="minorHAnsi" w:hAnsiTheme="minorHAnsi" w:cs="Times New Roman"/>
                <w:szCs w:val="20"/>
                <w:lang w:val="en-US"/>
              </w:rPr>
              <w:t xml:space="preserve"> </w:t>
            </w:r>
            <w:proofErr w:type="spellStart"/>
            <w:r w:rsidRPr="00EE4AAC">
              <w:rPr>
                <w:rFonts w:asciiTheme="minorHAnsi" w:hAnsiTheme="minorHAnsi" w:cs="Times New Roman"/>
                <w:szCs w:val="20"/>
                <w:lang w:val="en-US"/>
              </w:rPr>
              <w:t>Matei</w:t>
            </w:r>
            <w:proofErr w:type="spellEnd"/>
            <w:r w:rsidRPr="00EE4AAC">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9D" w:rsidRDefault="00DB389D" w:rsidP="003620AC">
      <w:pPr>
        <w:spacing w:line="240" w:lineRule="auto"/>
      </w:pPr>
      <w:r>
        <w:separator/>
      </w:r>
    </w:p>
  </w:endnote>
  <w:endnote w:type="continuationSeparator" w:id="0">
    <w:p w:rsidR="00DB389D" w:rsidRDefault="00DB389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D7752">
                            <w:rPr>
                              <w:noProof/>
                              <w:color w:val="7F7F7F" w:themeColor="text1" w:themeTint="80"/>
                            </w:rPr>
                            <w:t>4</w:t>
                          </w:r>
                          <w:r w:rsidRPr="00A314B1">
                            <w:rPr>
                              <w:color w:val="7F7F7F" w:themeColor="text1" w:themeTint="80"/>
                            </w:rPr>
                            <w:fldChar w:fldCharType="end"/>
                          </w:r>
                          <w:r>
                            <w:t xml:space="preserve"> din </w:t>
                          </w:r>
                          <w:fldSimple w:instr=" NUMPAGES   \* MERGEFORMAT ">
                            <w:r w:rsidR="00ED7752">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D7752">
                      <w:rPr>
                        <w:noProof/>
                        <w:color w:val="7F7F7F" w:themeColor="text1" w:themeTint="80"/>
                      </w:rPr>
                      <w:t>4</w:t>
                    </w:r>
                    <w:r w:rsidRPr="00A314B1">
                      <w:rPr>
                        <w:color w:val="7F7F7F" w:themeColor="text1" w:themeTint="80"/>
                      </w:rPr>
                      <w:fldChar w:fldCharType="end"/>
                    </w:r>
                    <w:r>
                      <w:t xml:space="preserve"> din </w:t>
                    </w:r>
                    <w:fldSimple w:instr=" NUMPAGES   \* MERGEFORMAT ">
                      <w:r w:rsidR="00ED7752">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AC46690"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57FDA">
                            <w:rPr>
                              <w:noProof/>
                              <w:color w:val="7F7F7F" w:themeColor="text1" w:themeTint="80"/>
                            </w:rPr>
                            <w:t>1</w:t>
                          </w:r>
                          <w:r w:rsidRPr="00A314B1">
                            <w:rPr>
                              <w:color w:val="7F7F7F" w:themeColor="text1" w:themeTint="80"/>
                            </w:rPr>
                            <w:fldChar w:fldCharType="end"/>
                          </w:r>
                          <w:r>
                            <w:t xml:space="preserve"> din </w:t>
                          </w:r>
                          <w:fldSimple w:instr=" NUMPAGES   \* MERGEFORMAT ">
                            <w:r w:rsidR="00857FDA">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57FDA">
                      <w:rPr>
                        <w:noProof/>
                        <w:color w:val="7F7F7F" w:themeColor="text1" w:themeTint="80"/>
                      </w:rPr>
                      <w:t>1</w:t>
                    </w:r>
                    <w:r w:rsidRPr="00A314B1">
                      <w:rPr>
                        <w:color w:val="7F7F7F" w:themeColor="text1" w:themeTint="80"/>
                      </w:rPr>
                      <w:fldChar w:fldCharType="end"/>
                    </w:r>
                    <w:r>
                      <w:t xml:space="preserve"> din </w:t>
                    </w:r>
                    <w:fldSimple w:instr=" NUMPAGES   \* MERGEFORMAT ">
                      <w:r w:rsidR="00857FDA">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9D" w:rsidRDefault="00DB389D" w:rsidP="003620AC">
      <w:pPr>
        <w:spacing w:line="240" w:lineRule="auto"/>
      </w:pPr>
      <w:r>
        <w:separator/>
      </w:r>
    </w:p>
  </w:footnote>
  <w:footnote w:type="continuationSeparator" w:id="0">
    <w:p w:rsidR="00DB389D" w:rsidRDefault="00DB389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5A0C3D"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50F4C"/>
    <w:multiLevelType w:val="hybridMultilevel"/>
    <w:tmpl w:val="6E8EB1FE"/>
    <w:lvl w:ilvl="0" w:tplc="808A9200">
      <w:start w:val="1"/>
      <w:numFmt w:val="decimal"/>
      <w:lvlText w:val="%1."/>
      <w:lvlJc w:val="left"/>
      <w:pPr>
        <w:ind w:left="720" w:hanging="360"/>
      </w:pPr>
      <w:rPr>
        <w:rFonts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30553A"/>
    <w:multiLevelType w:val="hybridMultilevel"/>
    <w:tmpl w:val="26E2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1870"/>
    <w:rsid w:val="0002629E"/>
    <w:rsid w:val="00027D52"/>
    <w:rsid w:val="00031B5A"/>
    <w:rsid w:val="00040178"/>
    <w:rsid w:val="00041200"/>
    <w:rsid w:val="0004396B"/>
    <w:rsid w:val="000441B0"/>
    <w:rsid w:val="00046B6C"/>
    <w:rsid w:val="00052B63"/>
    <w:rsid w:val="0006171D"/>
    <w:rsid w:val="000623F1"/>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564D8"/>
    <w:rsid w:val="00171AC8"/>
    <w:rsid w:val="00176BA6"/>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1713A"/>
    <w:rsid w:val="002226C5"/>
    <w:rsid w:val="002326CD"/>
    <w:rsid w:val="00235B29"/>
    <w:rsid w:val="00235D5B"/>
    <w:rsid w:val="00240907"/>
    <w:rsid w:val="00251FB5"/>
    <w:rsid w:val="00255506"/>
    <w:rsid w:val="0028221C"/>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1674"/>
    <w:rsid w:val="00440601"/>
    <w:rsid w:val="00440F3F"/>
    <w:rsid w:val="00443AAF"/>
    <w:rsid w:val="004505B8"/>
    <w:rsid w:val="00456785"/>
    <w:rsid w:val="0046495B"/>
    <w:rsid w:val="0047316F"/>
    <w:rsid w:val="00482ED4"/>
    <w:rsid w:val="00483986"/>
    <w:rsid w:val="00484F5D"/>
    <w:rsid w:val="0049528C"/>
    <w:rsid w:val="004A18B3"/>
    <w:rsid w:val="004A6A98"/>
    <w:rsid w:val="004A6BE1"/>
    <w:rsid w:val="004B2C0C"/>
    <w:rsid w:val="004C5389"/>
    <w:rsid w:val="004C71B6"/>
    <w:rsid w:val="004F1160"/>
    <w:rsid w:val="004F1D75"/>
    <w:rsid w:val="004F4D8F"/>
    <w:rsid w:val="004F55C4"/>
    <w:rsid w:val="004F653C"/>
    <w:rsid w:val="004F7D77"/>
    <w:rsid w:val="005013D1"/>
    <w:rsid w:val="00502649"/>
    <w:rsid w:val="00505884"/>
    <w:rsid w:val="00506CCA"/>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A398A"/>
    <w:rsid w:val="005C75E1"/>
    <w:rsid w:val="005F62D7"/>
    <w:rsid w:val="005F7C27"/>
    <w:rsid w:val="0061072E"/>
    <w:rsid w:val="00610920"/>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96950"/>
    <w:rsid w:val="007B22EE"/>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34C33"/>
    <w:rsid w:val="00857FDA"/>
    <w:rsid w:val="008607C1"/>
    <w:rsid w:val="00863C4D"/>
    <w:rsid w:val="00865A3E"/>
    <w:rsid w:val="00867118"/>
    <w:rsid w:val="0089316A"/>
    <w:rsid w:val="008A4B48"/>
    <w:rsid w:val="008B5920"/>
    <w:rsid w:val="008C0CCD"/>
    <w:rsid w:val="008C5964"/>
    <w:rsid w:val="008D406E"/>
    <w:rsid w:val="008E0432"/>
    <w:rsid w:val="008E18B5"/>
    <w:rsid w:val="00907FD4"/>
    <w:rsid w:val="00910019"/>
    <w:rsid w:val="0091016D"/>
    <w:rsid w:val="009218A7"/>
    <w:rsid w:val="00922A00"/>
    <w:rsid w:val="00926650"/>
    <w:rsid w:val="009575A9"/>
    <w:rsid w:val="00970A1F"/>
    <w:rsid w:val="00973D0F"/>
    <w:rsid w:val="009821D2"/>
    <w:rsid w:val="00984233"/>
    <w:rsid w:val="009847B3"/>
    <w:rsid w:val="00984EDE"/>
    <w:rsid w:val="009913C8"/>
    <w:rsid w:val="00992202"/>
    <w:rsid w:val="00992224"/>
    <w:rsid w:val="009930DA"/>
    <w:rsid w:val="00993891"/>
    <w:rsid w:val="009A4173"/>
    <w:rsid w:val="009A5058"/>
    <w:rsid w:val="009B4D4F"/>
    <w:rsid w:val="009B6D2D"/>
    <w:rsid w:val="00A045E2"/>
    <w:rsid w:val="00A0632E"/>
    <w:rsid w:val="00A158F5"/>
    <w:rsid w:val="00A17EAE"/>
    <w:rsid w:val="00A314B1"/>
    <w:rsid w:val="00A45120"/>
    <w:rsid w:val="00A52389"/>
    <w:rsid w:val="00A61612"/>
    <w:rsid w:val="00A73C54"/>
    <w:rsid w:val="00A808E1"/>
    <w:rsid w:val="00A85CED"/>
    <w:rsid w:val="00A92BF7"/>
    <w:rsid w:val="00AA110C"/>
    <w:rsid w:val="00AA485A"/>
    <w:rsid w:val="00AB2E3B"/>
    <w:rsid w:val="00AB3C3F"/>
    <w:rsid w:val="00AB52C0"/>
    <w:rsid w:val="00AB6940"/>
    <w:rsid w:val="00AD085A"/>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5037"/>
    <w:rsid w:val="00BE78D8"/>
    <w:rsid w:val="00BF064D"/>
    <w:rsid w:val="00C01D5F"/>
    <w:rsid w:val="00C02D15"/>
    <w:rsid w:val="00C05426"/>
    <w:rsid w:val="00C10F40"/>
    <w:rsid w:val="00C23E4D"/>
    <w:rsid w:val="00C25F8E"/>
    <w:rsid w:val="00C33F03"/>
    <w:rsid w:val="00C37DCE"/>
    <w:rsid w:val="00C50FAB"/>
    <w:rsid w:val="00C52104"/>
    <w:rsid w:val="00C53F1A"/>
    <w:rsid w:val="00C62EDA"/>
    <w:rsid w:val="00C71699"/>
    <w:rsid w:val="00C73ECD"/>
    <w:rsid w:val="00C77658"/>
    <w:rsid w:val="00C77790"/>
    <w:rsid w:val="00C828BC"/>
    <w:rsid w:val="00C84F40"/>
    <w:rsid w:val="00C85D28"/>
    <w:rsid w:val="00CA6A95"/>
    <w:rsid w:val="00CA79C9"/>
    <w:rsid w:val="00CC50A6"/>
    <w:rsid w:val="00CD7ED0"/>
    <w:rsid w:val="00CE45F1"/>
    <w:rsid w:val="00CE5918"/>
    <w:rsid w:val="00CF6B2D"/>
    <w:rsid w:val="00D00B2C"/>
    <w:rsid w:val="00D0165A"/>
    <w:rsid w:val="00D019F8"/>
    <w:rsid w:val="00D040EE"/>
    <w:rsid w:val="00D05206"/>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389D"/>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856EE"/>
    <w:rsid w:val="00E93C96"/>
    <w:rsid w:val="00E97541"/>
    <w:rsid w:val="00EB5249"/>
    <w:rsid w:val="00EB5461"/>
    <w:rsid w:val="00EC5FC3"/>
    <w:rsid w:val="00ED7752"/>
    <w:rsid w:val="00EE4AAC"/>
    <w:rsid w:val="00EF00DF"/>
    <w:rsid w:val="00F10704"/>
    <w:rsid w:val="00F2055D"/>
    <w:rsid w:val="00F207A3"/>
    <w:rsid w:val="00F25D0D"/>
    <w:rsid w:val="00F51AE9"/>
    <w:rsid w:val="00F722E0"/>
    <w:rsid w:val="00F81A4E"/>
    <w:rsid w:val="00F969D6"/>
    <w:rsid w:val="00FB3260"/>
    <w:rsid w:val="00FD4306"/>
    <w:rsid w:val="00FD5B3A"/>
    <w:rsid w:val="00FD7AA9"/>
    <w:rsid w:val="00FE2288"/>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5291">
      <w:bodyDiv w:val="1"/>
      <w:marLeft w:val="0"/>
      <w:marRight w:val="0"/>
      <w:marTop w:val="0"/>
      <w:marBottom w:val="0"/>
      <w:divBdr>
        <w:top w:val="none" w:sz="0" w:space="0" w:color="auto"/>
        <w:left w:val="none" w:sz="0" w:space="0" w:color="auto"/>
        <w:bottom w:val="none" w:sz="0" w:space="0" w:color="auto"/>
        <w:right w:val="none" w:sz="0" w:space="0" w:color="auto"/>
      </w:divBdr>
    </w:div>
    <w:div w:id="335113376">
      <w:bodyDiv w:val="1"/>
      <w:marLeft w:val="0"/>
      <w:marRight w:val="0"/>
      <w:marTop w:val="0"/>
      <w:marBottom w:val="0"/>
      <w:divBdr>
        <w:top w:val="none" w:sz="0" w:space="0" w:color="auto"/>
        <w:left w:val="none" w:sz="0" w:space="0" w:color="auto"/>
        <w:bottom w:val="none" w:sz="0" w:space="0" w:color="auto"/>
        <w:right w:val="none" w:sz="0" w:space="0" w:color="auto"/>
      </w:divBdr>
    </w:div>
    <w:div w:id="1382485604">
      <w:bodyDiv w:val="1"/>
      <w:marLeft w:val="0"/>
      <w:marRight w:val="0"/>
      <w:marTop w:val="0"/>
      <w:marBottom w:val="0"/>
      <w:divBdr>
        <w:top w:val="none" w:sz="0" w:space="0" w:color="auto"/>
        <w:left w:val="none" w:sz="0" w:space="0" w:color="auto"/>
        <w:bottom w:val="none" w:sz="0" w:space="0" w:color="auto"/>
        <w:right w:val="none" w:sz="0" w:space="0" w:color="auto"/>
      </w:divBdr>
    </w:div>
    <w:div w:id="1472484710">
      <w:bodyDiv w:val="1"/>
      <w:marLeft w:val="0"/>
      <w:marRight w:val="0"/>
      <w:marTop w:val="0"/>
      <w:marBottom w:val="0"/>
      <w:divBdr>
        <w:top w:val="none" w:sz="0" w:space="0" w:color="auto"/>
        <w:left w:val="none" w:sz="0" w:space="0" w:color="auto"/>
        <w:bottom w:val="none" w:sz="0" w:space="0" w:color="auto"/>
        <w:right w:val="none" w:sz="0" w:space="0" w:color="auto"/>
      </w:divBdr>
    </w:div>
    <w:div w:id="1505822065">
      <w:bodyDiv w:val="1"/>
      <w:marLeft w:val="0"/>
      <w:marRight w:val="0"/>
      <w:marTop w:val="0"/>
      <w:marBottom w:val="0"/>
      <w:divBdr>
        <w:top w:val="none" w:sz="0" w:space="0" w:color="auto"/>
        <w:left w:val="none" w:sz="0" w:space="0" w:color="auto"/>
        <w:bottom w:val="none" w:sz="0" w:space="0" w:color="auto"/>
        <w:right w:val="none" w:sz="0" w:space="0" w:color="auto"/>
      </w:divBdr>
    </w:div>
    <w:div w:id="16875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71C38"/>
    <w:rsid w:val="003211D2"/>
    <w:rsid w:val="0032796E"/>
    <w:rsid w:val="003B2447"/>
    <w:rsid w:val="00404E09"/>
    <w:rsid w:val="005110D3"/>
    <w:rsid w:val="005323FE"/>
    <w:rsid w:val="005C0F5E"/>
    <w:rsid w:val="00710968"/>
    <w:rsid w:val="007503BC"/>
    <w:rsid w:val="007C4169"/>
    <w:rsid w:val="007D5A13"/>
    <w:rsid w:val="007F160E"/>
    <w:rsid w:val="008332EE"/>
    <w:rsid w:val="009515A7"/>
    <w:rsid w:val="00A97D36"/>
    <w:rsid w:val="00AE1BBD"/>
    <w:rsid w:val="00C76C48"/>
    <w:rsid w:val="00C844D2"/>
    <w:rsid w:val="00D634A7"/>
    <w:rsid w:val="00D7458F"/>
    <w:rsid w:val="00D80DC6"/>
    <w:rsid w:val="00DB7C00"/>
    <w:rsid w:val="00E12657"/>
    <w:rsid w:val="00E16DA2"/>
    <w:rsid w:val="00F8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MACCJ7WAEWV6-565203097-867</_dlc_DocId>
    <_dlc_DocIdUrl xmlns="4c155583-69f9-458b-843e-56574a4bdc09">
      <Url>https://www.umfiasi.ro/ro/academic/facultati/bioinginerie-medicala/_layouts/15/DocIdRedir.aspx?ID=MACCJ7WAEWV6-565203097-867</Url>
      <Description>MACCJ7WAEWV6-565203097-867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81B6-F7BA-4C66-95E3-3B6B3146BB62}"/>
</file>

<file path=customXml/itemProps2.xml><?xml version="1.0" encoding="utf-8"?>
<ds:datastoreItem xmlns:ds="http://schemas.openxmlformats.org/officeDocument/2006/customXml" ds:itemID="{E0A909BA-7FAE-4588-BC9C-154C137B4286}"/>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63F5BADF-A4FF-4D34-923C-EBB190AEBDA6}"/>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7404</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2024-10-04T07:11:00Z</dcterms:created>
  <dcterms:modified xsi:type="dcterms:W3CDTF">2024-10-04T07:11:00Z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e84ac56a-0a35-4225-986b-3fc7116fe1d7</vt:lpwstr>
  </property>
</Properties>
</file>