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433BB1" w:rsidRPr="00B57069">
              <w:rPr>
                <w:rFonts w:asciiTheme="majorHAnsi" w:hAnsiTheme="majorHAnsi"/>
                <w:b/>
                <w:noProof/>
              </w:rPr>
              <w:t>Hygiene</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433BB1" w:rsidRPr="00B57069">
              <w:rPr>
                <w:rFonts w:asciiTheme="majorHAnsi" w:hAnsiTheme="majorHAnsi"/>
                <w:b/>
                <w:noProof/>
              </w:rPr>
              <w:t>RE1212</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D40236" w:rsidP="00C01D5F">
            <w:pPr>
              <w:rPr>
                <w:rFonts w:asciiTheme="majorHAnsi" w:hAnsiTheme="majorHAnsi"/>
                <w:b/>
              </w:rPr>
            </w:pPr>
            <w:r>
              <w:rPr>
                <w:rFonts w:asciiTheme="majorHAnsi" w:hAnsiTheme="majorHAnsi"/>
                <w:b/>
              </w:rPr>
              <w:t>Professor Florin Petrariu, MD, PhD</w:t>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7334F1" w:rsidRDefault="00D40236" w:rsidP="00BF064D">
            <w:pPr>
              <w:rPr>
                <w:rFonts w:asciiTheme="majorHAnsi" w:hAnsiTheme="majorHAnsi"/>
                <w:b/>
              </w:rPr>
            </w:pPr>
            <w:r>
              <w:rPr>
                <w:rFonts w:asciiTheme="majorHAnsi" w:hAnsiTheme="majorHAnsi"/>
                <w:b/>
              </w:rPr>
              <w:t>Professor Florin Petrariu, MD,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433BB1"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433BB1"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433BB1" w:rsidRPr="00B57069">
              <w:rPr>
                <w:rFonts w:asciiTheme="majorHAnsi" w:hAnsiTheme="majorHAnsi"/>
                <w:b/>
                <w:noProof/>
              </w:rPr>
              <w:t>Colloquium, C2</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433BB1"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433BB1" w:rsidRPr="00B57069">
              <w:rPr>
                <w:rFonts w:asciiTheme="majorHAnsi" w:hAnsiTheme="majorHAnsi" w:cs="TimesNewRoman"/>
                <w:b/>
                <w:noProof/>
                <w:lang w:bidi="ne-NP"/>
              </w:rPr>
              <w:t>Domain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433BB1"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433BB1"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433BB1" w:rsidRPr="00B57069">
              <w:rPr>
                <w:rFonts w:asciiTheme="majorHAnsi" w:hAnsiTheme="majorHAnsi" w:cs="TimesNewRoman"/>
                <w:b/>
                <w:noProof/>
                <w:szCs w:val="20"/>
                <w:lang w:bidi="ne-NP"/>
              </w:rPr>
              <w:t>2</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433BB1"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433BB1"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433BB1"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433BB1"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433BB1"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433BB1"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433BB1"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433BB1"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433BB1"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D4023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D4023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D4023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D4023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D4023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F6B2D" w:rsidRPr="008607C1" w:rsidRDefault="00D4023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433BB1"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433BB1"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433BB1"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433BB1"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433BB1"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433BB1"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433BB1"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433BB1"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433BB1"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DB442A">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D40236" w:rsidP="00DB442A">
            <w:pPr>
              <w:autoSpaceDE w:val="0"/>
              <w:autoSpaceDN w:val="0"/>
              <w:adjustRightInd w:val="0"/>
              <w:spacing w:line="240" w:lineRule="auto"/>
              <w:jc w:val="both"/>
              <w:rPr>
                <w:rFonts w:asciiTheme="majorHAnsi" w:hAnsiTheme="majorHAnsi" w:cs="TimesNewRoman,Bold"/>
                <w:szCs w:val="20"/>
                <w:lang w:bidi="ne-NP"/>
              </w:rPr>
            </w:pPr>
            <w:r>
              <w:rPr>
                <w:rFonts w:asciiTheme="majorHAnsi" w:hAnsiTheme="majorHAnsi" w:cs="TimesNewRoman,Bold"/>
                <w:szCs w:val="20"/>
                <w:lang w:bidi="ne-NP"/>
              </w:rPr>
              <w:t>Notions of Physiology, Biochemistry, B</w:t>
            </w:r>
            <w:r w:rsidRPr="00D40236">
              <w:rPr>
                <w:rFonts w:asciiTheme="majorHAnsi" w:hAnsiTheme="majorHAnsi" w:cs="TimesNewRoman,Bold"/>
                <w:szCs w:val="20"/>
                <w:lang w:bidi="ne-NP"/>
              </w:rPr>
              <w:t>iophysic</w:t>
            </w:r>
          </w:p>
        </w:tc>
      </w:tr>
      <w:tr w:rsidR="00CF6B2D" w:rsidRPr="008C0CCD" w:rsidTr="006B7D20">
        <w:tc>
          <w:tcPr>
            <w:tcW w:w="2235" w:type="dxa"/>
            <w:shd w:val="clear" w:color="auto" w:fill="F2F2F2" w:themeFill="background1" w:themeFillShade="F2"/>
            <w:vAlign w:val="center"/>
          </w:tcPr>
          <w:p w:rsidR="00CF6B2D" w:rsidRPr="008C0CCD" w:rsidRDefault="00CF6B2D" w:rsidP="00DB442A">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D40236" w:rsidP="00DB442A">
            <w:pPr>
              <w:autoSpaceDE w:val="0"/>
              <w:autoSpaceDN w:val="0"/>
              <w:adjustRightInd w:val="0"/>
              <w:spacing w:line="240" w:lineRule="auto"/>
              <w:jc w:val="both"/>
              <w:rPr>
                <w:rFonts w:asciiTheme="majorHAnsi" w:hAnsiTheme="majorHAnsi" w:cs="TimesNewRoman,Bold"/>
                <w:szCs w:val="20"/>
                <w:lang w:bidi="ne-NP"/>
              </w:rPr>
            </w:pPr>
            <w:r w:rsidRPr="00D40236">
              <w:rPr>
                <w:rFonts w:asciiTheme="majorHAnsi" w:hAnsiTheme="majorHAnsi" w:cs="TimesNewRoman,Bold"/>
                <w:szCs w:val="20"/>
                <w:lang w:bidi="ne-NP"/>
              </w:rPr>
              <w:t>Knowledge of the physiological and pathological mechanisms at the level of the main systems of the human body</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DB442A">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D40236" w:rsidP="00DB442A">
            <w:pPr>
              <w:autoSpaceDE w:val="0"/>
              <w:autoSpaceDN w:val="0"/>
              <w:adjustRightInd w:val="0"/>
              <w:spacing w:line="240" w:lineRule="auto"/>
              <w:rPr>
                <w:rFonts w:asciiTheme="majorHAnsi" w:hAnsiTheme="majorHAnsi" w:cs="TimesNewRoman,Bold"/>
                <w:bCs/>
                <w:szCs w:val="20"/>
                <w:lang w:bidi="ne-NP"/>
              </w:rPr>
            </w:pPr>
            <w:r w:rsidRPr="00D40236">
              <w:rPr>
                <w:rFonts w:asciiTheme="majorHAnsi" w:hAnsiTheme="majorHAnsi" w:cs="TimesNewRoman,Bold"/>
                <w:bCs/>
                <w:szCs w:val="20"/>
                <w:lang w:bidi="ne-NP"/>
              </w:rPr>
              <w:t>Video logistics support.</w:t>
            </w:r>
          </w:p>
        </w:tc>
      </w:tr>
      <w:tr w:rsidR="00CF6B2D" w:rsidRPr="008C0CCD" w:rsidTr="00D750EE">
        <w:tc>
          <w:tcPr>
            <w:tcW w:w="2235" w:type="dxa"/>
            <w:shd w:val="clear" w:color="auto" w:fill="F2F2F2" w:themeFill="background1" w:themeFillShade="F2"/>
            <w:vAlign w:val="center"/>
          </w:tcPr>
          <w:p w:rsidR="00CF6B2D" w:rsidRPr="008C0CCD" w:rsidRDefault="00CF6B2D" w:rsidP="00DB442A">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D40236" w:rsidRPr="008C0CCD" w:rsidRDefault="00D40236" w:rsidP="00DB442A">
            <w:pPr>
              <w:autoSpaceDE w:val="0"/>
              <w:autoSpaceDN w:val="0"/>
              <w:adjustRightInd w:val="0"/>
              <w:spacing w:line="240" w:lineRule="auto"/>
              <w:jc w:val="both"/>
              <w:rPr>
                <w:rFonts w:asciiTheme="majorHAnsi" w:hAnsiTheme="majorHAnsi" w:cs="TimesNewRoman,Bold"/>
                <w:bCs/>
                <w:szCs w:val="20"/>
                <w:lang w:bidi="ne-NP"/>
              </w:rPr>
            </w:pPr>
            <w:r w:rsidRPr="00D40236">
              <w:rPr>
                <w:rFonts w:asciiTheme="majorHAnsi" w:hAnsiTheme="majorHAnsi" w:cs="TimesNewRoman,Bold"/>
                <w:bCs/>
                <w:szCs w:val="20"/>
                <w:lang w:bidi="ne-NP"/>
              </w:rPr>
              <w:t>Students will have protective equipment</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DB442A">
        <w:trPr>
          <w:cantSplit/>
          <w:trHeight w:val="651"/>
        </w:trPr>
        <w:tc>
          <w:tcPr>
            <w:tcW w:w="675" w:type="dxa"/>
            <w:vMerge w:val="restart"/>
            <w:shd w:val="clear" w:color="auto" w:fill="F3F3F3"/>
            <w:textDirection w:val="btLr"/>
            <w:vAlign w:val="center"/>
          </w:tcPr>
          <w:p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D40236"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C1.1</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A808E1" w:rsidRPr="00D40236" w:rsidRDefault="00D40236" w:rsidP="00A808E1">
            <w:pPr>
              <w:pStyle w:val="Default"/>
              <w:rPr>
                <w:rFonts w:asciiTheme="majorHAnsi" w:hAnsiTheme="majorHAnsi" w:cs="TimesNewRoman,Bold"/>
                <w:bCs/>
                <w:sz w:val="20"/>
                <w:szCs w:val="20"/>
                <w:lang w:val="ro-RO" w:bidi="ne-NP"/>
              </w:rPr>
            </w:pPr>
            <w:r w:rsidRPr="00D40236">
              <w:rPr>
                <w:rFonts w:asciiTheme="majorHAnsi" w:hAnsiTheme="majorHAnsi" w:cs="TimesNewRoman,Bold"/>
                <w:bCs/>
                <w:sz w:val="20"/>
                <w:szCs w:val="20"/>
                <w:lang w:val="ro-RO" w:bidi="ne-NP"/>
              </w:rPr>
              <w:t>Description of concepts, theories and fundamental notions of physiological and pathological mechanisms of the human locomotor system, recognition of clinical symptoms and signs, identification of physical therapy methods and techniques</w:t>
            </w: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D40236"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331357" w:rsidRPr="00D40236" w:rsidRDefault="00D40236" w:rsidP="00A808E1">
            <w:pPr>
              <w:pStyle w:val="Default"/>
              <w:rPr>
                <w:rFonts w:asciiTheme="majorHAnsi" w:hAnsiTheme="majorHAnsi" w:cs="TimesNewRoman,Bold"/>
                <w:bCs/>
                <w:sz w:val="20"/>
                <w:szCs w:val="20"/>
                <w:lang w:val="ro-RO" w:bidi="ne-NP"/>
              </w:rPr>
            </w:pPr>
            <w:r w:rsidRPr="00D40236">
              <w:rPr>
                <w:rFonts w:asciiTheme="majorHAnsi" w:hAnsiTheme="majorHAnsi" w:cs="TimesNewRoman,Bold"/>
                <w:bCs/>
                <w:sz w:val="20"/>
                <w:szCs w:val="20"/>
                <w:lang w:val="ro-RO" w:bidi="ne-NP"/>
              </w:rPr>
              <w:t>Formulation of hypotheses and operationalization of key concepts in order to explain syndromes and/or diseases</w:t>
            </w:r>
          </w:p>
        </w:tc>
      </w:tr>
    </w:tbl>
    <w:p w:rsidR="00CF6B2D" w:rsidRPr="008C0CCD" w:rsidRDefault="00CF6B2D" w:rsidP="00DB442A">
      <w:pPr>
        <w:autoSpaceDE w:val="0"/>
        <w:autoSpaceDN w:val="0"/>
        <w:adjustRightInd w:val="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FF45B9" w:rsidRPr="008C0CCD" w:rsidTr="00FF45B9">
        <w:tc>
          <w:tcPr>
            <w:tcW w:w="2358" w:type="dxa"/>
            <w:shd w:val="clear" w:color="auto" w:fill="F2F2F2" w:themeFill="background1" w:themeFillShade="F2"/>
            <w:vAlign w:val="center"/>
          </w:tcPr>
          <w:p w:rsidR="00FF45B9" w:rsidRPr="008C0CCD" w:rsidRDefault="00FF45B9" w:rsidP="00DB442A">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General objective</w:t>
            </w:r>
          </w:p>
        </w:tc>
        <w:tc>
          <w:tcPr>
            <w:tcW w:w="7686" w:type="dxa"/>
            <w:vAlign w:val="center"/>
          </w:tcPr>
          <w:p w:rsidR="00FF45B9" w:rsidRPr="00AB07B0" w:rsidRDefault="00FF45B9" w:rsidP="00DB442A">
            <w:pPr>
              <w:pStyle w:val="Default"/>
              <w:rPr>
                <w:rFonts w:asciiTheme="minorHAnsi" w:hAnsiTheme="minorHAnsi"/>
                <w:sz w:val="20"/>
                <w:szCs w:val="20"/>
              </w:rPr>
            </w:pPr>
            <w:r w:rsidRPr="00AB07B0">
              <w:rPr>
                <w:rFonts w:asciiTheme="minorHAnsi" w:hAnsiTheme="minorHAnsi"/>
                <w:sz w:val="20"/>
                <w:szCs w:val="20"/>
                <w:lang w:val="en"/>
              </w:rPr>
              <w:t>Learning the fundamental principles of Hygiene</w:t>
            </w:r>
            <w:r>
              <w:rPr>
                <w:rFonts w:asciiTheme="minorHAnsi" w:hAnsiTheme="minorHAnsi"/>
                <w:sz w:val="20"/>
                <w:szCs w:val="20"/>
                <w:lang w:val="en"/>
              </w:rPr>
              <w:t xml:space="preserve"> and </w:t>
            </w:r>
            <w:r w:rsidRPr="00AB07B0">
              <w:rPr>
                <w:rFonts w:asciiTheme="minorHAnsi" w:hAnsiTheme="minorHAnsi"/>
                <w:sz w:val="20"/>
                <w:szCs w:val="20"/>
                <w:lang w:val="en"/>
              </w:rPr>
              <w:t>Environmental Health</w:t>
            </w:r>
          </w:p>
        </w:tc>
      </w:tr>
      <w:tr w:rsidR="00FF45B9" w:rsidRPr="008C0CCD" w:rsidTr="00FF45B9">
        <w:tc>
          <w:tcPr>
            <w:tcW w:w="2358" w:type="dxa"/>
            <w:shd w:val="clear" w:color="auto" w:fill="F2F2F2" w:themeFill="background1" w:themeFillShade="F2"/>
            <w:vAlign w:val="center"/>
          </w:tcPr>
          <w:p w:rsidR="00FF45B9" w:rsidRPr="008C0CCD" w:rsidRDefault="00FF45B9" w:rsidP="00DB442A">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686" w:type="dxa"/>
            <w:vAlign w:val="center"/>
          </w:tcPr>
          <w:p w:rsidR="00FF45B9" w:rsidRPr="00AB07B0" w:rsidRDefault="00FF45B9" w:rsidP="00DB442A">
            <w:pPr>
              <w:autoSpaceDE w:val="0"/>
              <w:autoSpaceDN w:val="0"/>
              <w:adjustRightInd w:val="0"/>
              <w:spacing w:line="240" w:lineRule="auto"/>
              <w:rPr>
                <w:rFonts w:asciiTheme="minorHAnsi" w:hAnsiTheme="minorHAnsi"/>
                <w:color w:val="212121"/>
                <w:szCs w:val="20"/>
                <w:lang w:val="en"/>
              </w:rPr>
            </w:pPr>
            <w:r w:rsidRPr="00AB07B0">
              <w:rPr>
                <w:rFonts w:asciiTheme="minorHAnsi" w:hAnsiTheme="minorHAnsi"/>
                <w:color w:val="212121"/>
                <w:szCs w:val="20"/>
                <w:lang w:val="en"/>
              </w:rPr>
              <w:t>Knowledge of natural and artificial environmental factors and</w:t>
            </w:r>
          </w:p>
          <w:p w:rsidR="00FF45B9" w:rsidRPr="00AB07B0" w:rsidRDefault="00FF45B9" w:rsidP="00DB442A">
            <w:pPr>
              <w:pStyle w:val="Default"/>
              <w:rPr>
                <w:rFonts w:asciiTheme="minorHAnsi" w:hAnsiTheme="minorHAnsi"/>
                <w:sz w:val="20"/>
                <w:szCs w:val="20"/>
              </w:rPr>
            </w:pPr>
            <w:proofErr w:type="gramStart"/>
            <w:r w:rsidRPr="00AB07B0">
              <w:rPr>
                <w:rFonts w:asciiTheme="minorHAnsi" w:hAnsiTheme="minorHAnsi"/>
                <w:color w:val="212121"/>
                <w:sz w:val="20"/>
                <w:szCs w:val="20"/>
                <w:lang w:val="en"/>
              </w:rPr>
              <w:t>the</w:t>
            </w:r>
            <w:proofErr w:type="gramEnd"/>
            <w:r w:rsidRPr="00AB07B0">
              <w:rPr>
                <w:rFonts w:asciiTheme="minorHAnsi" w:hAnsiTheme="minorHAnsi"/>
                <w:color w:val="212121"/>
                <w:sz w:val="20"/>
                <w:szCs w:val="20"/>
                <w:lang w:val="en"/>
              </w:rPr>
              <w:t xml:space="preserve"> ways in which they affect health at the individual and community level</w:t>
            </w:r>
            <w:r>
              <w:rPr>
                <w:rFonts w:asciiTheme="minorHAnsi" w:hAnsiTheme="minorHAnsi"/>
                <w:color w:val="212121"/>
                <w:sz w:val="20"/>
                <w:szCs w:val="20"/>
                <w:lang w:val="en"/>
              </w:rPr>
              <w:t>.</w:t>
            </w:r>
            <w:r w:rsidRPr="00AB07B0">
              <w:rPr>
                <w:rFonts w:asciiTheme="minorHAnsi" w:hAnsiTheme="minorHAnsi"/>
                <w:color w:val="212121"/>
                <w:sz w:val="20"/>
                <w:szCs w:val="20"/>
                <w:lang w:val="en"/>
              </w:rPr>
              <w:t xml:space="preserve"> Knowledge of general notions about </w:t>
            </w:r>
            <w:r>
              <w:rPr>
                <w:rFonts w:asciiTheme="minorHAnsi" w:hAnsiTheme="minorHAnsi"/>
                <w:color w:val="212121"/>
                <w:sz w:val="20"/>
                <w:szCs w:val="20"/>
                <w:lang w:val="en"/>
              </w:rPr>
              <w:t xml:space="preserve">medical </w:t>
            </w:r>
            <w:r w:rsidRPr="00AB07B0">
              <w:rPr>
                <w:rFonts w:asciiTheme="minorHAnsi" w:hAnsiTheme="minorHAnsi"/>
                <w:color w:val="212121"/>
                <w:sz w:val="20"/>
                <w:szCs w:val="20"/>
                <w:lang w:val="en"/>
              </w:rPr>
              <w:t>prevention and health education.</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6750"/>
        <w:gridCol w:w="1445"/>
        <w:gridCol w:w="1428"/>
      </w:tblGrid>
      <w:tr w:rsidR="00FF45B9" w:rsidRPr="00DB442A" w:rsidTr="007A5543">
        <w:tc>
          <w:tcPr>
            <w:tcW w:w="7038" w:type="dxa"/>
            <w:gridSpan w:val="2"/>
            <w:shd w:val="clear" w:color="auto" w:fill="F2F2F2" w:themeFill="background1" w:themeFillShade="F2"/>
            <w:vAlign w:val="center"/>
          </w:tcPr>
          <w:p w:rsidR="00FF45B9" w:rsidRPr="00DB442A" w:rsidRDefault="00FF45B9" w:rsidP="00EE10EA">
            <w:pPr>
              <w:autoSpaceDE w:val="0"/>
              <w:autoSpaceDN w:val="0"/>
              <w:adjustRightInd w:val="0"/>
              <w:rPr>
                <w:rFonts w:asciiTheme="majorHAnsi" w:hAnsiTheme="majorHAnsi" w:cs="TimesNewRoman,Bold"/>
                <w:b/>
                <w:bCs/>
                <w:szCs w:val="20"/>
                <w:lang w:bidi="ne-NP"/>
              </w:rPr>
            </w:pPr>
            <w:r w:rsidRPr="00DB442A">
              <w:rPr>
                <w:rFonts w:asciiTheme="majorHAnsi" w:hAnsiTheme="majorHAnsi" w:cs="TimesNewRoman,Bold"/>
                <w:b/>
                <w:bCs/>
                <w:szCs w:val="20"/>
                <w:lang w:bidi="ne-NP"/>
              </w:rPr>
              <w:t>8.1. Lectures</w:t>
            </w:r>
          </w:p>
        </w:tc>
        <w:tc>
          <w:tcPr>
            <w:tcW w:w="1445" w:type="dxa"/>
            <w:shd w:val="clear" w:color="auto" w:fill="F2F2F2" w:themeFill="background1" w:themeFillShade="F2"/>
          </w:tcPr>
          <w:p w:rsidR="00FF45B9" w:rsidRPr="00DB442A" w:rsidRDefault="00FF45B9" w:rsidP="00EE10EA">
            <w:pPr>
              <w:autoSpaceDE w:val="0"/>
              <w:autoSpaceDN w:val="0"/>
              <w:adjustRightInd w:val="0"/>
              <w:jc w:val="center"/>
              <w:rPr>
                <w:rFonts w:asciiTheme="majorHAnsi" w:hAnsiTheme="majorHAnsi" w:cs="TimesNewRoman,Bold"/>
                <w:b/>
                <w:bCs/>
                <w:szCs w:val="20"/>
                <w:lang w:bidi="ne-NP"/>
              </w:rPr>
            </w:pPr>
            <w:r w:rsidRPr="00DB442A">
              <w:rPr>
                <w:rFonts w:asciiTheme="majorHAnsi" w:hAnsiTheme="majorHAnsi" w:cs="TimesNewRoman,Bold"/>
                <w:b/>
                <w:bCs/>
                <w:szCs w:val="20"/>
                <w:lang w:bidi="ne-NP"/>
              </w:rPr>
              <w:t>Teaching methods</w:t>
            </w:r>
          </w:p>
        </w:tc>
        <w:tc>
          <w:tcPr>
            <w:tcW w:w="1428" w:type="dxa"/>
            <w:shd w:val="clear" w:color="auto" w:fill="F2F2F2" w:themeFill="background1" w:themeFillShade="F2"/>
          </w:tcPr>
          <w:p w:rsidR="00FF45B9" w:rsidRPr="00DB442A" w:rsidRDefault="00FF45B9" w:rsidP="00EE10EA">
            <w:pPr>
              <w:autoSpaceDE w:val="0"/>
              <w:autoSpaceDN w:val="0"/>
              <w:adjustRightInd w:val="0"/>
              <w:rPr>
                <w:rFonts w:asciiTheme="majorHAnsi" w:hAnsiTheme="majorHAnsi" w:cs="TimesNewRoman,Bold"/>
                <w:b/>
                <w:bCs/>
                <w:szCs w:val="20"/>
                <w:lang w:bidi="ne-NP"/>
              </w:rPr>
            </w:pPr>
            <w:r w:rsidRPr="00DB442A">
              <w:rPr>
                <w:rFonts w:asciiTheme="majorHAnsi" w:hAnsiTheme="majorHAnsi" w:cs="TimesNewRoman,Bold"/>
                <w:b/>
                <w:bCs/>
                <w:szCs w:val="20"/>
                <w:lang w:bidi="ne-NP"/>
              </w:rPr>
              <w:t>Observations</w:t>
            </w:r>
          </w:p>
        </w:tc>
      </w:tr>
      <w:tr w:rsidR="00DB442A" w:rsidRPr="00DB442A" w:rsidTr="007A5543">
        <w:tc>
          <w:tcPr>
            <w:tcW w:w="288" w:type="dxa"/>
            <w:shd w:val="clear" w:color="auto" w:fill="auto"/>
            <w:vAlign w:val="center"/>
          </w:tcPr>
          <w:p w:rsidR="00DB442A" w:rsidRPr="00DB442A" w:rsidRDefault="00DB442A" w:rsidP="00EE10EA">
            <w:pPr>
              <w:autoSpaceDE w:val="0"/>
              <w:autoSpaceDN w:val="0"/>
              <w:adjustRightInd w:val="0"/>
              <w:rPr>
                <w:rFonts w:asciiTheme="majorHAnsi" w:hAnsiTheme="majorHAnsi" w:cs="TimesNewRoman,Bold"/>
                <w:bCs/>
                <w:szCs w:val="20"/>
                <w:lang w:bidi="ne-NP"/>
              </w:rPr>
            </w:pPr>
            <w:r w:rsidRPr="00DB442A">
              <w:rPr>
                <w:rFonts w:asciiTheme="majorHAnsi" w:hAnsiTheme="majorHAnsi" w:cs="TimesNewRoman,Bold"/>
                <w:bCs/>
                <w:szCs w:val="20"/>
                <w:lang w:bidi="ne-NP"/>
              </w:rPr>
              <w:t>1</w:t>
            </w:r>
          </w:p>
        </w:tc>
        <w:tc>
          <w:tcPr>
            <w:tcW w:w="6750" w:type="dxa"/>
            <w:shd w:val="clear" w:color="auto" w:fill="auto"/>
            <w:vAlign w:val="center"/>
          </w:tcPr>
          <w:p w:rsidR="00DB442A" w:rsidRPr="007A5543" w:rsidRDefault="00DB442A" w:rsidP="00EE10EA">
            <w:pPr>
              <w:pStyle w:val="Default"/>
              <w:rPr>
                <w:rFonts w:asciiTheme="majorHAnsi" w:hAnsiTheme="majorHAnsi"/>
                <w:sz w:val="20"/>
                <w:szCs w:val="20"/>
                <w:lang w:val="en"/>
              </w:rPr>
            </w:pPr>
            <w:r w:rsidRPr="00DB442A">
              <w:rPr>
                <w:rFonts w:asciiTheme="majorHAnsi" w:hAnsiTheme="majorHAnsi"/>
                <w:sz w:val="20"/>
                <w:szCs w:val="20"/>
                <w:lang w:val="en"/>
              </w:rPr>
              <w:t>Energy requirements of the human body. Energy providing nutrients and non-energy-bearing nutrients.</w:t>
            </w:r>
          </w:p>
        </w:tc>
        <w:tc>
          <w:tcPr>
            <w:tcW w:w="1445" w:type="dxa"/>
            <w:vMerge w:val="restart"/>
            <w:shd w:val="clear" w:color="auto" w:fill="auto"/>
            <w:vAlign w:val="center"/>
          </w:tcPr>
          <w:p w:rsidR="00DB442A" w:rsidRPr="00DB442A" w:rsidRDefault="00DB442A" w:rsidP="00EE10EA">
            <w:pPr>
              <w:pStyle w:val="Default"/>
              <w:jc w:val="center"/>
              <w:rPr>
                <w:rFonts w:asciiTheme="majorHAnsi" w:hAnsiTheme="majorHAnsi"/>
                <w:sz w:val="20"/>
                <w:szCs w:val="20"/>
                <w:lang w:val="fr-FR"/>
              </w:rPr>
            </w:pPr>
            <w:r w:rsidRPr="00DB442A">
              <w:rPr>
                <w:rFonts w:asciiTheme="majorHAnsi" w:hAnsiTheme="majorHAnsi"/>
                <w:sz w:val="20"/>
                <w:szCs w:val="20"/>
                <w:lang w:val="en"/>
              </w:rPr>
              <w:t>Interactive debates</w:t>
            </w:r>
          </w:p>
          <w:p w:rsidR="00DB442A" w:rsidRPr="00DB442A" w:rsidRDefault="00DB442A" w:rsidP="00EE10EA">
            <w:pPr>
              <w:pStyle w:val="Default"/>
              <w:jc w:val="center"/>
              <w:rPr>
                <w:rFonts w:asciiTheme="majorHAnsi" w:hAnsiTheme="majorHAnsi"/>
                <w:sz w:val="20"/>
                <w:szCs w:val="20"/>
                <w:lang w:val="fr-FR"/>
              </w:rPr>
            </w:pPr>
            <w:r w:rsidRPr="00DB442A">
              <w:rPr>
                <w:rFonts w:asciiTheme="majorHAnsi" w:hAnsiTheme="majorHAnsi"/>
                <w:sz w:val="20"/>
                <w:szCs w:val="20"/>
                <w:lang w:val="en"/>
              </w:rPr>
              <w:t>PowerPoint presentations</w:t>
            </w:r>
          </w:p>
          <w:p w:rsidR="00DB442A" w:rsidRPr="00DB442A" w:rsidRDefault="00DB442A" w:rsidP="00EE10EA">
            <w:pPr>
              <w:autoSpaceDE w:val="0"/>
              <w:autoSpaceDN w:val="0"/>
              <w:adjustRightInd w:val="0"/>
              <w:spacing w:line="240" w:lineRule="auto"/>
              <w:jc w:val="center"/>
              <w:rPr>
                <w:rFonts w:asciiTheme="majorHAnsi" w:hAnsiTheme="majorHAnsi"/>
                <w:szCs w:val="20"/>
                <w:lang w:val="en"/>
              </w:rPr>
            </w:pPr>
            <w:r w:rsidRPr="00DB442A">
              <w:rPr>
                <w:rFonts w:asciiTheme="majorHAnsi" w:hAnsiTheme="majorHAnsi"/>
                <w:szCs w:val="20"/>
                <w:lang w:val="en"/>
              </w:rPr>
              <w:t>Video presentations</w:t>
            </w:r>
          </w:p>
        </w:tc>
        <w:tc>
          <w:tcPr>
            <w:tcW w:w="1428" w:type="dxa"/>
            <w:shd w:val="clear" w:color="auto" w:fill="auto"/>
            <w:vAlign w:val="center"/>
          </w:tcPr>
          <w:p w:rsidR="00DB442A" w:rsidRPr="00DB442A" w:rsidRDefault="00DB442A" w:rsidP="00EE10EA">
            <w:pPr>
              <w:autoSpaceDE w:val="0"/>
              <w:autoSpaceDN w:val="0"/>
              <w:adjustRightInd w:val="0"/>
              <w:jc w:val="center"/>
              <w:rPr>
                <w:rFonts w:asciiTheme="majorHAnsi" w:hAnsiTheme="majorHAnsi" w:cs="TimesNewRoman,Bold"/>
                <w:bCs/>
                <w:szCs w:val="20"/>
                <w:lang w:val="fr-FR" w:bidi="ne-NP"/>
              </w:rPr>
            </w:pPr>
            <w:r w:rsidRPr="00DB442A">
              <w:rPr>
                <w:rFonts w:asciiTheme="majorHAnsi" w:hAnsiTheme="majorHAnsi" w:cs="TimesNewRoman,Bold"/>
                <w:bCs/>
                <w:szCs w:val="20"/>
                <w:lang w:val="fr-FR" w:bidi="ne-NP"/>
              </w:rPr>
              <w:t xml:space="preserve">2 </w:t>
            </w:r>
            <w:proofErr w:type="spellStart"/>
            <w:r w:rsidRPr="00DB442A">
              <w:rPr>
                <w:rFonts w:asciiTheme="majorHAnsi" w:hAnsiTheme="majorHAnsi" w:cs="TimesNewRoman,Bold"/>
                <w:bCs/>
                <w:szCs w:val="20"/>
                <w:lang w:val="fr-FR" w:bidi="ne-NP"/>
              </w:rPr>
              <w:t>hours</w:t>
            </w:r>
            <w:proofErr w:type="spellEnd"/>
          </w:p>
        </w:tc>
      </w:tr>
      <w:tr w:rsidR="00DB442A" w:rsidRPr="00DB442A" w:rsidTr="007A5543">
        <w:tc>
          <w:tcPr>
            <w:tcW w:w="288" w:type="dxa"/>
            <w:shd w:val="clear" w:color="auto" w:fill="auto"/>
            <w:vAlign w:val="center"/>
          </w:tcPr>
          <w:p w:rsidR="00DB442A" w:rsidRPr="00DB442A" w:rsidRDefault="00DB442A" w:rsidP="00EE10EA">
            <w:pPr>
              <w:autoSpaceDE w:val="0"/>
              <w:autoSpaceDN w:val="0"/>
              <w:adjustRightInd w:val="0"/>
              <w:rPr>
                <w:rFonts w:asciiTheme="majorHAnsi" w:hAnsiTheme="majorHAnsi" w:cs="TimesNewRoman,Bold"/>
                <w:bCs/>
                <w:szCs w:val="20"/>
                <w:lang w:bidi="ne-NP"/>
              </w:rPr>
            </w:pPr>
            <w:r w:rsidRPr="00DB442A">
              <w:rPr>
                <w:rFonts w:asciiTheme="majorHAnsi" w:hAnsiTheme="majorHAnsi" w:cs="TimesNewRoman,Bold"/>
                <w:bCs/>
                <w:szCs w:val="20"/>
                <w:lang w:bidi="ne-NP"/>
              </w:rPr>
              <w:t>2</w:t>
            </w:r>
          </w:p>
        </w:tc>
        <w:tc>
          <w:tcPr>
            <w:tcW w:w="6750" w:type="dxa"/>
            <w:shd w:val="clear" w:color="auto" w:fill="auto"/>
            <w:vAlign w:val="center"/>
          </w:tcPr>
          <w:p w:rsidR="00DB442A" w:rsidRPr="00DB442A" w:rsidRDefault="00DB442A" w:rsidP="00EE10EA">
            <w:pPr>
              <w:autoSpaceDE w:val="0"/>
              <w:autoSpaceDN w:val="0"/>
              <w:adjustRightInd w:val="0"/>
              <w:spacing w:line="240" w:lineRule="auto"/>
              <w:rPr>
                <w:rFonts w:asciiTheme="majorHAnsi" w:hAnsiTheme="majorHAnsi" w:cs="TimesNewRoman,Bold"/>
                <w:bCs/>
                <w:szCs w:val="20"/>
                <w:lang w:bidi="ne-NP"/>
              </w:rPr>
            </w:pPr>
            <w:r w:rsidRPr="00DB442A">
              <w:rPr>
                <w:rFonts w:asciiTheme="majorHAnsi" w:hAnsiTheme="majorHAnsi"/>
                <w:szCs w:val="20"/>
                <w:lang w:val="en"/>
              </w:rPr>
              <w:t>Food groups: nutritional value, Recommended Dietary Allowance and the effects of an inadequate consumption.</w:t>
            </w:r>
          </w:p>
        </w:tc>
        <w:tc>
          <w:tcPr>
            <w:tcW w:w="1445" w:type="dxa"/>
            <w:vMerge/>
            <w:shd w:val="clear" w:color="auto" w:fill="auto"/>
            <w:vAlign w:val="center"/>
          </w:tcPr>
          <w:p w:rsidR="00DB442A" w:rsidRPr="00DB442A" w:rsidRDefault="00DB442A" w:rsidP="00EE10EA">
            <w:pPr>
              <w:autoSpaceDE w:val="0"/>
              <w:autoSpaceDN w:val="0"/>
              <w:adjustRightInd w:val="0"/>
              <w:spacing w:line="240" w:lineRule="auto"/>
              <w:jc w:val="center"/>
              <w:rPr>
                <w:rFonts w:asciiTheme="majorHAnsi" w:hAnsiTheme="majorHAnsi"/>
                <w:szCs w:val="20"/>
                <w:lang w:val="en"/>
              </w:rPr>
            </w:pPr>
          </w:p>
        </w:tc>
        <w:tc>
          <w:tcPr>
            <w:tcW w:w="1428" w:type="dxa"/>
            <w:shd w:val="clear" w:color="auto" w:fill="auto"/>
            <w:vAlign w:val="center"/>
          </w:tcPr>
          <w:p w:rsidR="00DB442A" w:rsidRPr="00DB442A" w:rsidRDefault="00DB442A" w:rsidP="00EE10EA">
            <w:pPr>
              <w:autoSpaceDE w:val="0"/>
              <w:autoSpaceDN w:val="0"/>
              <w:adjustRightInd w:val="0"/>
              <w:jc w:val="center"/>
              <w:rPr>
                <w:rFonts w:asciiTheme="majorHAnsi" w:hAnsiTheme="majorHAnsi" w:cs="TimesNewRoman,Bold"/>
                <w:bCs/>
                <w:szCs w:val="20"/>
                <w:lang w:val="fr-FR" w:bidi="ne-NP"/>
              </w:rPr>
            </w:pPr>
            <w:r w:rsidRPr="00DB442A">
              <w:rPr>
                <w:rFonts w:asciiTheme="majorHAnsi" w:hAnsiTheme="majorHAnsi" w:cs="TimesNewRoman,Bold"/>
                <w:bCs/>
                <w:szCs w:val="20"/>
                <w:lang w:val="fr-FR" w:bidi="ne-NP"/>
              </w:rPr>
              <w:t xml:space="preserve">2 </w:t>
            </w:r>
            <w:proofErr w:type="spellStart"/>
            <w:r w:rsidRPr="00DB442A">
              <w:rPr>
                <w:rFonts w:asciiTheme="majorHAnsi" w:hAnsiTheme="majorHAnsi" w:cs="TimesNewRoman,Bold"/>
                <w:bCs/>
                <w:szCs w:val="20"/>
                <w:lang w:val="fr-FR" w:bidi="ne-NP"/>
              </w:rPr>
              <w:t>hours</w:t>
            </w:r>
            <w:proofErr w:type="spellEnd"/>
          </w:p>
        </w:tc>
      </w:tr>
      <w:tr w:rsidR="00DB442A" w:rsidRPr="00DB442A" w:rsidTr="007A5543">
        <w:tc>
          <w:tcPr>
            <w:tcW w:w="288" w:type="dxa"/>
            <w:shd w:val="clear" w:color="auto" w:fill="auto"/>
            <w:vAlign w:val="center"/>
          </w:tcPr>
          <w:p w:rsidR="00DB442A" w:rsidRPr="00DB442A" w:rsidRDefault="00DB442A" w:rsidP="00EE10EA">
            <w:pPr>
              <w:autoSpaceDE w:val="0"/>
              <w:autoSpaceDN w:val="0"/>
              <w:adjustRightInd w:val="0"/>
              <w:rPr>
                <w:rFonts w:asciiTheme="majorHAnsi" w:hAnsiTheme="majorHAnsi" w:cs="TimesNewRoman,Bold"/>
                <w:bCs/>
                <w:szCs w:val="20"/>
                <w:lang w:bidi="ne-NP"/>
              </w:rPr>
            </w:pPr>
            <w:r w:rsidRPr="00DB442A">
              <w:rPr>
                <w:rFonts w:asciiTheme="majorHAnsi" w:hAnsiTheme="majorHAnsi" w:cs="TimesNewRoman,Bold"/>
                <w:bCs/>
                <w:szCs w:val="20"/>
                <w:lang w:bidi="ne-NP"/>
              </w:rPr>
              <w:t>3</w:t>
            </w:r>
          </w:p>
        </w:tc>
        <w:tc>
          <w:tcPr>
            <w:tcW w:w="6750" w:type="dxa"/>
            <w:shd w:val="clear" w:color="auto" w:fill="auto"/>
            <w:vAlign w:val="center"/>
          </w:tcPr>
          <w:p w:rsidR="00DB442A" w:rsidRPr="007A5543" w:rsidRDefault="00DB442A" w:rsidP="00EE10EA">
            <w:pPr>
              <w:pStyle w:val="Default"/>
              <w:rPr>
                <w:rFonts w:asciiTheme="majorHAnsi" w:hAnsiTheme="majorHAnsi"/>
                <w:sz w:val="20"/>
                <w:szCs w:val="20"/>
                <w:lang w:val="en"/>
              </w:rPr>
            </w:pPr>
            <w:r w:rsidRPr="00DB442A">
              <w:rPr>
                <w:rFonts w:asciiTheme="majorHAnsi" w:hAnsiTheme="majorHAnsi"/>
                <w:sz w:val="20"/>
                <w:szCs w:val="20"/>
                <w:lang w:val="en"/>
              </w:rPr>
              <w:t>The role of air in maintaining health status. Biological air pollution (air contamination) and physical pollution (ionizing and non-ionizing radiations) in relation to human health.</w:t>
            </w:r>
          </w:p>
        </w:tc>
        <w:tc>
          <w:tcPr>
            <w:tcW w:w="1445" w:type="dxa"/>
            <w:vMerge/>
            <w:shd w:val="clear" w:color="auto" w:fill="auto"/>
            <w:vAlign w:val="center"/>
          </w:tcPr>
          <w:p w:rsidR="00DB442A" w:rsidRPr="00DB442A" w:rsidRDefault="00DB442A" w:rsidP="00EE10EA">
            <w:pPr>
              <w:autoSpaceDE w:val="0"/>
              <w:autoSpaceDN w:val="0"/>
              <w:adjustRightInd w:val="0"/>
              <w:spacing w:line="240" w:lineRule="auto"/>
              <w:jc w:val="center"/>
              <w:rPr>
                <w:rFonts w:asciiTheme="majorHAnsi" w:hAnsiTheme="majorHAnsi"/>
                <w:szCs w:val="20"/>
                <w:lang w:val="en"/>
              </w:rPr>
            </w:pPr>
          </w:p>
        </w:tc>
        <w:tc>
          <w:tcPr>
            <w:tcW w:w="1428" w:type="dxa"/>
            <w:shd w:val="clear" w:color="auto" w:fill="auto"/>
            <w:vAlign w:val="center"/>
          </w:tcPr>
          <w:p w:rsidR="00DB442A" w:rsidRPr="00DB442A" w:rsidRDefault="00DB442A" w:rsidP="00EE10EA">
            <w:pPr>
              <w:autoSpaceDE w:val="0"/>
              <w:autoSpaceDN w:val="0"/>
              <w:adjustRightInd w:val="0"/>
              <w:jc w:val="center"/>
              <w:rPr>
                <w:rFonts w:asciiTheme="majorHAnsi" w:hAnsiTheme="majorHAnsi" w:cs="TimesNewRoman,Bold"/>
                <w:bCs/>
                <w:szCs w:val="20"/>
                <w:lang w:val="fr-FR" w:bidi="ne-NP"/>
              </w:rPr>
            </w:pPr>
            <w:r w:rsidRPr="00DB442A">
              <w:rPr>
                <w:rFonts w:asciiTheme="majorHAnsi" w:hAnsiTheme="majorHAnsi" w:cs="TimesNewRoman,Bold"/>
                <w:bCs/>
                <w:szCs w:val="20"/>
                <w:lang w:val="fr-FR" w:bidi="ne-NP"/>
              </w:rPr>
              <w:t xml:space="preserve">2 </w:t>
            </w:r>
            <w:proofErr w:type="spellStart"/>
            <w:r w:rsidRPr="00DB442A">
              <w:rPr>
                <w:rFonts w:asciiTheme="majorHAnsi" w:hAnsiTheme="majorHAnsi" w:cs="TimesNewRoman,Bold"/>
                <w:bCs/>
                <w:szCs w:val="20"/>
                <w:lang w:val="fr-FR" w:bidi="ne-NP"/>
              </w:rPr>
              <w:t>hours</w:t>
            </w:r>
            <w:proofErr w:type="spellEnd"/>
          </w:p>
        </w:tc>
      </w:tr>
      <w:tr w:rsidR="00DB442A" w:rsidRPr="00DB442A" w:rsidTr="007A5543">
        <w:tc>
          <w:tcPr>
            <w:tcW w:w="288" w:type="dxa"/>
            <w:shd w:val="clear" w:color="auto" w:fill="auto"/>
            <w:vAlign w:val="center"/>
          </w:tcPr>
          <w:p w:rsidR="00DB442A" w:rsidRPr="00DB442A" w:rsidRDefault="00DB442A" w:rsidP="00EE10EA">
            <w:pPr>
              <w:autoSpaceDE w:val="0"/>
              <w:autoSpaceDN w:val="0"/>
              <w:adjustRightInd w:val="0"/>
              <w:rPr>
                <w:rFonts w:asciiTheme="majorHAnsi" w:hAnsiTheme="majorHAnsi" w:cs="TimesNewRoman,Bold"/>
                <w:bCs/>
                <w:szCs w:val="20"/>
                <w:lang w:bidi="ne-NP"/>
              </w:rPr>
            </w:pPr>
            <w:r w:rsidRPr="00DB442A">
              <w:rPr>
                <w:rFonts w:asciiTheme="majorHAnsi" w:hAnsiTheme="majorHAnsi" w:cs="TimesNewRoman,Bold"/>
                <w:bCs/>
                <w:szCs w:val="20"/>
                <w:lang w:bidi="ne-NP"/>
              </w:rPr>
              <w:t>4</w:t>
            </w:r>
          </w:p>
        </w:tc>
        <w:tc>
          <w:tcPr>
            <w:tcW w:w="6750" w:type="dxa"/>
            <w:shd w:val="clear" w:color="auto" w:fill="auto"/>
            <w:vAlign w:val="center"/>
          </w:tcPr>
          <w:p w:rsidR="00DB442A" w:rsidRPr="00DB442A" w:rsidRDefault="00DB442A" w:rsidP="00EE10EA">
            <w:pPr>
              <w:pStyle w:val="Default"/>
              <w:rPr>
                <w:rFonts w:asciiTheme="majorHAnsi" w:hAnsiTheme="majorHAnsi"/>
                <w:sz w:val="20"/>
                <w:szCs w:val="20"/>
              </w:rPr>
            </w:pPr>
            <w:r w:rsidRPr="00DB442A">
              <w:rPr>
                <w:rFonts w:asciiTheme="majorHAnsi" w:hAnsiTheme="majorHAnsi"/>
                <w:sz w:val="20"/>
                <w:szCs w:val="20"/>
                <w:lang w:val="en"/>
              </w:rPr>
              <w:t xml:space="preserve">The role of drinking water in maintaining health status. </w:t>
            </w:r>
          </w:p>
          <w:p w:rsidR="00DB442A" w:rsidRPr="00DB442A" w:rsidRDefault="00DB442A" w:rsidP="00EE10EA">
            <w:pPr>
              <w:pStyle w:val="Default"/>
              <w:rPr>
                <w:rFonts w:asciiTheme="majorHAnsi" w:hAnsiTheme="majorHAnsi"/>
                <w:sz w:val="20"/>
                <w:szCs w:val="20"/>
                <w:lang w:val="en"/>
              </w:rPr>
            </w:pPr>
            <w:r w:rsidRPr="00DB442A">
              <w:rPr>
                <w:rFonts w:asciiTheme="majorHAnsi" w:hAnsiTheme="majorHAnsi"/>
                <w:sz w:val="20"/>
                <w:szCs w:val="20"/>
                <w:lang w:val="en"/>
              </w:rPr>
              <w:t xml:space="preserve">Sources of drinking water. Central water supply to the population. </w:t>
            </w:r>
          </w:p>
        </w:tc>
        <w:tc>
          <w:tcPr>
            <w:tcW w:w="1445" w:type="dxa"/>
            <w:vMerge/>
            <w:shd w:val="clear" w:color="auto" w:fill="auto"/>
            <w:vAlign w:val="center"/>
          </w:tcPr>
          <w:p w:rsidR="00DB442A" w:rsidRPr="00DB442A" w:rsidRDefault="00DB442A" w:rsidP="00EE10EA">
            <w:pPr>
              <w:autoSpaceDE w:val="0"/>
              <w:autoSpaceDN w:val="0"/>
              <w:adjustRightInd w:val="0"/>
              <w:spacing w:line="240" w:lineRule="auto"/>
              <w:jc w:val="center"/>
              <w:rPr>
                <w:rFonts w:asciiTheme="majorHAnsi" w:hAnsiTheme="majorHAnsi"/>
                <w:szCs w:val="20"/>
                <w:lang w:val="en"/>
              </w:rPr>
            </w:pPr>
          </w:p>
        </w:tc>
        <w:tc>
          <w:tcPr>
            <w:tcW w:w="1428" w:type="dxa"/>
            <w:shd w:val="clear" w:color="auto" w:fill="auto"/>
            <w:vAlign w:val="center"/>
          </w:tcPr>
          <w:p w:rsidR="00DB442A" w:rsidRPr="00DB442A" w:rsidRDefault="00DB442A" w:rsidP="00EE10EA">
            <w:pPr>
              <w:autoSpaceDE w:val="0"/>
              <w:autoSpaceDN w:val="0"/>
              <w:adjustRightInd w:val="0"/>
              <w:jc w:val="center"/>
              <w:rPr>
                <w:rFonts w:asciiTheme="majorHAnsi" w:hAnsiTheme="majorHAnsi" w:cs="TimesNewRoman,Bold"/>
                <w:bCs/>
                <w:szCs w:val="20"/>
                <w:lang w:val="fr-FR" w:bidi="ne-NP"/>
              </w:rPr>
            </w:pPr>
            <w:r w:rsidRPr="00DB442A">
              <w:rPr>
                <w:rFonts w:asciiTheme="majorHAnsi" w:hAnsiTheme="majorHAnsi" w:cs="TimesNewRoman,Bold"/>
                <w:bCs/>
                <w:szCs w:val="20"/>
                <w:lang w:val="fr-FR" w:bidi="ne-NP"/>
              </w:rPr>
              <w:t xml:space="preserve">2 </w:t>
            </w:r>
            <w:proofErr w:type="spellStart"/>
            <w:r w:rsidRPr="00DB442A">
              <w:rPr>
                <w:rFonts w:asciiTheme="majorHAnsi" w:hAnsiTheme="majorHAnsi" w:cs="TimesNewRoman,Bold"/>
                <w:bCs/>
                <w:szCs w:val="20"/>
                <w:lang w:val="fr-FR" w:bidi="ne-NP"/>
              </w:rPr>
              <w:t>hours</w:t>
            </w:r>
            <w:proofErr w:type="spellEnd"/>
          </w:p>
        </w:tc>
      </w:tr>
      <w:tr w:rsidR="00DB442A" w:rsidRPr="00DB442A" w:rsidTr="007A5543">
        <w:tc>
          <w:tcPr>
            <w:tcW w:w="288" w:type="dxa"/>
            <w:shd w:val="clear" w:color="auto" w:fill="auto"/>
            <w:vAlign w:val="center"/>
          </w:tcPr>
          <w:p w:rsidR="00DB442A" w:rsidRPr="00DB442A" w:rsidRDefault="00DB442A" w:rsidP="00EE10EA">
            <w:pPr>
              <w:autoSpaceDE w:val="0"/>
              <w:autoSpaceDN w:val="0"/>
              <w:adjustRightInd w:val="0"/>
              <w:rPr>
                <w:rFonts w:asciiTheme="majorHAnsi" w:hAnsiTheme="majorHAnsi" w:cs="TimesNewRoman,Bold"/>
                <w:bCs/>
                <w:szCs w:val="20"/>
                <w:lang w:bidi="ne-NP"/>
              </w:rPr>
            </w:pPr>
            <w:r w:rsidRPr="00DB442A">
              <w:rPr>
                <w:rFonts w:asciiTheme="majorHAnsi" w:hAnsiTheme="majorHAnsi" w:cs="TimesNewRoman,Bold"/>
                <w:bCs/>
                <w:szCs w:val="20"/>
                <w:lang w:bidi="ne-NP"/>
              </w:rPr>
              <w:t>5</w:t>
            </w:r>
          </w:p>
        </w:tc>
        <w:tc>
          <w:tcPr>
            <w:tcW w:w="6750" w:type="dxa"/>
            <w:shd w:val="clear" w:color="auto" w:fill="auto"/>
            <w:vAlign w:val="center"/>
          </w:tcPr>
          <w:p w:rsidR="00DB442A" w:rsidRPr="007A5543" w:rsidRDefault="00DB442A" w:rsidP="00EE10EA">
            <w:pPr>
              <w:autoSpaceDE w:val="0"/>
              <w:autoSpaceDN w:val="0"/>
              <w:adjustRightInd w:val="0"/>
              <w:spacing w:line="240" w:lineRule="auto"/>
              <w:rPr>
                <w:rFonts w:asciiTheme="majorHAnsi" w:hAnsiTheme="majorHAnsi"/>
                <w:szCs w:val="20"/>
              </w:rPr>
            </w:pPr>
            <w:r w:rsidRPr="00DB442A">
              <w:rPr>
                <w:rFonts w:asciiTheme="majorHAnsi" w:hAnsiTheme="majorHAnsi"/>
                <w:szCs w:val="20"/>
                <w:lang w:val="en"/>
              </w:rPr>
              <w:t>Use of mineral waters in b</w:t>
            </w:r>
            <w:r w:rsidRPr="00DB442A">
              <w:rPr>
                <w:rFonts w:asciiTheme="majorHAnsi" w:hAnsiTheme="majorHAnsi"/>
                <w:szCs w:val="20"/>
              </w:rPr>
              <w:t>alneo-</w:t>
            </w:r>
            <w:proofErr w:type="gramStart"/>
            <w:r w:rsidRPr="00DB442A">
              <w:rPr>
                <w:rFonts w:asciiTheme="majorHAnsi" w:hAnsiTheme="majorHAnsi"/>
                <w:szCs w:val="20"/>
              </w:rPr>
              <w:t xml:space="preserve">physiokinetotherapy </w:t>
            </w:r>
            <w:r w:rsidR="007A5543">
              <w:rPr>
                <w:rFonts w:asciiTheme="majorHAnsi" w:hAnsiTheme="majorHAnsi"/>
                <w:szCs w:val="20"/>
              </w:rPr>
              <w:t xml:space="preserve"> </w:t>
            </w:r>
            <w:r w:rsidRPr="00DB442A">
              <w:rPr>
                <w:rFonts w:asciiTheme="majorHAnsi" w:hAnsiTheme="majorHAnsi"/>
                <w:szCs w:val="20"/>
              </w:rPr>
              <w:t>and</w:t>
            </w:r>
            <w:proofErr w:type="gramEnd"/>
            <w:r w:rsidRPr="00DB442A">
              <w:rPr>
                <w:rFonts w:asciiTheme="majorHAnsi" w:hAnsiTheme="majorHAnsi"/>
                <w:szCs w:val="20"/>
              </w:rPr>
              <w:t xml:space="preserve"> rehabilitation/</w:t>
            </w:r>
            <w:r w:rsidRPr="00DB442A">
              <w:rPr>
                <w:rFonts w:asciiTheme="majorHAnsi" w:hAnsiTheme="majorHAnsi"/>
                <w:szCs w:val="20"/>
                <w:lang w:val="en"/>
              </w:rPr>
              <w:t>recovery procedures.</w:t>
            </w:r>
          </w:p>
        </w:tc>
        <w:tc>
          <w:tcPr>
            <w:tcW w:w="1445" w:type="dxa"/>
            <w:vMerge/>
            <w:shd w:val="clear" w:color="auto" w:fill="auto"/>
            <w:vAlign w:val="center"/>
          </w:tcPr>
          <w:p w:rsidR="00DB442A" w:rsidRPr="00DB442A" w:rsidRDefault="00DB442A" w:rsidP="00EE10EA">
            <w:pPr>
              <w:autoSpaceDE w:val="0"/>
              <w:autoSpaceDN w:val="0"/>
              <w:adjustRightInd w:val="0"/>
              <w:spacing w:line="240" w:lineRule="auto"/>
              <w:jc w:val="center"/>
              <w:rPr>
                <w:rFonts w:asciiTheme="majorHAnsi" w:hAnsiTheme="majorHAnsi"/>
                <w:szCs w:val="20"/>
                <w:lang w:val="en"/>
              </w:rPr>
            </w:pPr>
          </w:p>
        </w:tc>
        <w:tc>
          <w:tcPr>
            <w:tcW w:w="1428" w:type="dxa"/>
            <w:shd w:val="clear" w:color="auto" w:fill="auto"/>
            <w:vAlign w:val="center"/>
          </w:tcPr>
          <w:p w:rsidR="00DB442A" w:rsidRPr="00DB442A" w:rsidRDefault="00DB442A" w:rsidP="00EE10EA">
            <w:pPr>
              <w:autoSpaceDE w:val="0"/>
              <w:autoSpaceDN w:val="0"/>
              <w:adjustRightInd w:val="0"/>
              <w:jc w:val="center"/>
              <w:rPr>
                <w:rFonts w:asciiTheme="majorHAnsi" w:hAnsiTheme="majorHAnsi" w:cs="TimesNewRoman,Bold"/>
                <w:bCs/>
                <w:szCs w:val="20"/>
                <w:lang w:val="fr-FR" w:bidi="ne-NP"/>
              </w:rPr>
            </w:pPr>
            <w:r w:rsidRPr="00DB442A">
              <w:rPr>
                <w:rFonts w:asciiTheme="majorHAnsi" w:hAnsiTheme="majorHAnsi" w:cs="TimesNewRoman,Bold"/>
                <w:bCs/>
                <w:szCs w:val="20"/>
                <w:lang w:val="fr-FR" w:bidi="ne-NP"/>
              </w:rPr>
              <w:t xml:space="preserve">2 </w:t>
            </w:r>
            <w:proofErr w:type="spellStart"/>
            <w:r w:rsidRPr="00DB442A">
              <w:rPr>
                <w:rFonts w:asciiTheme="majorHAnsi" w:hAnsiTheme="majorHAnsi" w:cs="TimesNewRoman,Bold"/>
                <w:bCs/>
                <w:szCs w:val="20"/>
                <w:lang w:val="fr-FR" w:bidi="ne-NP"/>
              </w:rPr>
              <w:t>hours</w:t>
            </w:r>
            <w:proofErr w:type="spellEnd"/>
          </w:p>
        </w:tc>
      </w:tr>
      <w:tr w:rsidR="00DB442A" w:rsidRPr="00DB442A" w:rsidTr="007A5543">
        <w:tc>
          <w:tcPr>
            <w:tcW w:w="288" w:type="dxa"/>
            <w:shd w:val="clear" w:color="auto" w:fill="auto"/>
            <w:vAlign w:val="center"/>
          </w:tcPr>
          <w:p w:rsidR="00DB442A" w:rsidRPr="00DB442A" w:rsidRDefault="00DB442A" w:rsidP="00EE10EA">
            <w:pPr>
              <w:autoSpaceDE w:val="0"/>
              <w:autoSpaceDN w:val="0"/>
              <w:adjustRightInd w:val="0"/>
              <w:rPr>
                <w:rFonts w:asciiTheme="majorHAnsi" w:hAnsiTheme="majorHAnsi" w:cs="TimesNewRoman,Bold"/>
                <w:bCs/>
                <w:szCs w:val="20"/>
                <w:lang w:bidi="ne-NP"/>
              </w:rPr>
            </w:pPr>
            <w:r w:rsidRPr="00DB442A">
              <w:rPr>
                <w:rFonts w:asciiTheme="majorHAnsi" w:hAnsiTheme="majorHAnsi" w:cs="TimesNewRoman,Bold"/>
                <w:bCs/>
                <w:szCs w:val="20"/>
                <w:lang w:bidi="ne-NP"/>
              </w:rPr>
              <w:t>6</w:t>
            </w:r>
          </w:p>
        </w:tc>
        <w:tc>
          <w:tcPr>
            <w:tcW w:w="6750" w:type="dxa"/>
            <w:shd w:val="clear" w:color="auto" w:fill="auto"/>
            <w:vAlign w:val="center"/>
          </w:tcPr>
          <w:p w:rsidR="00DB442A" w:rsidRPr="00DB442A" w:rsidRDefault="00DB442A" w:rsidP="00EE10EA">
            <w:pPr>
              <w:pStyle w:val="Default"/>
              <w:rPr>
                <w:rFonts w:asciiTheme="majorHAnsi" w:hAnsiTheme="majorHAnsi"/>
                <w:sz w:val="20"/>
                <w:szCs w:val="20"/>
              </w:rPr>
            </w:pPr>
            <w:r w:rsidRPr="00DB442A">
              <w:rPr>
                <w:rFonts w:asciiTheme="majorHAnsi" w:hAnsiTheme="majorHAnsi"/>
                <w:sz w:val="20"/>
                <w:szCs w:val="20"/>
                <w:lang w:val="en"/>
              </w:rPr>
              <w:t>Fundamental aspects of children and teenager’s hygiene</w:t>
            </w:r>
            <w:r w:rsidRPr="00DB442A">
              <w:rPr>
                <w:rFonts w:asciiTheme="majorHAnsi" w:hAnsiTheme="majorHAnsi"/>
                <w:sz w:val="20"/>
                <w:szCs w:val="20"/>
              </w:rPr>
              <w:t xml:space="preserve">. </w:t>
            </w:r>
          </w:p>
        </w:tc>
        <w:tc>
          <w:tcPr>
            <w:tcW w:w="1445" w:type="dxa"/>
            <w:vMerge/>
            <w:shd w:val="clear" w:color="auto" w:fill="auto"/>
            <w:vAlign w:val="center"/>
          </w:tcPr>
          <w:p w:rsidR="00DB442A" w:rsidRPr="00DB442A" w:rsidRDefault="00DB442A" w:rsidP="00EE10EA">
            <w:pPr>
              <w:autoSpaceDE w:val="0"/>
              <w:autoSpaceDN w:val="0"/>
              <w:adjustRightInd w:val="0"/>
              <w:spacing w:line="240" w:lineRule="auto"/>
              <w:jc w:val="center"/>
              <w:rPr>
                <w:rFonts w:asciiTheme="majorHAnsi" w:hAnsiTheme="majorHAnsi"/>
                <w:szCs w:val="20"/>
                <w:lang w:val="en"/>
              </w:rPr>
            </w:pPr>
          </w:p>
        </w:tc>
        <w:tc>
          <w:tcPr>
            <w:tcW w:w="1428" w:type="dxa"/>
            <w:shd w:val="clear" w:color="auto" w:fill="auto"/>
            <w:vAlign w:val="center"/>
          </w:tcPr>
          <w:p w:rsidR="00DB442A" w:rsidRPr="00DB442A" w:rsidRDefault="00DB442A" w:rsidP="00EE10EA">
            <w:pPr>
              <w:autoSpaceDE w:val="0"/>
              <w:autoSpaceDN w:val="0"/>
              <w:adjustRightInd w:val="0"/>
              <w:jc w:val="center"/>
              <w:rPr>
                <w:rFonts w:asciiTheme="majorHAnsi" w:hAnsiTheme="majorHAnsi" w:cs="TimesNewRoman,Bold"/>
                <w:bCs/>
                <w:szCs w:val="20"/>
                <w:lang w:val="fr-FR" w:bidi="ne-NP"/>
              </w:rPr>
            </w:pPr>
            <w:r w:rsidRPr="00DB442A">
              <w:rPr>
                <w:rFonts w:asciiTheme="majorHAnsi" w:hAnsiTheme="majorHAnsi" w:cs="TimesNewRoman,Bold"/>
                <w:bCs/>
                <w:szCs w:val="20"/>
                <w:lang w:val="fr-FR" w:bidi="ne-NP"/>
              </w:rPr>
              <w:t xml:space="preserve">2 </w:t>
            </w:r>
            <w:proofErr w:type="spellStart"/>
            <w:r w:rsidRPr="00DB442A">
              <w:rPr>
                <w:rFonts w:asciiTheme="majorHAnsi" w:hAnsiTheme="majorHAnsi" w:cs="TimesNewRoman,Bold"/>
                <w:bCs/>
                <w:szCs w:val="20"/>
                <w:lang w:val="fr-FR" w:bidi="ne-NP"/>
              </w:rPr>
              <w:t>hours</w:t>
            </w:r>
            <w:proofErr w:type="spellEnd"/>
          </w:p>
        </w:tc>
      </w:tr>
      <w:tr w:rsidR="00DB442A" w:rsidRPr="00DB442A" w:rsidTr="007A5543">
        <w:tc>
          <w:tcPr>
            <w:tcW w:w="288" w:type="dxa"/>
            <w:shd w:val="clear" w:color="auto" w:fill="auto"/>
            <w:vAlign w:val="center"/>
          </w:tcPr>
          <w:p w:rsidR="00DB442A" w:rsidRPr="00DB442A" w:rsidRDefault="00DB442A" w:rsidP="00EE10EA">
            <w:pPr>
              <w:autoSpaceDE w:val="0"/>
              <w:autoSpaceDN w:val="0"/>
              <w:adjustRightInd w:val="0"/>
              <w:rPr>
                <w:rFonts w:asciiTheme="majorHAnsi" w:hAnsiTheme="majorHAnsi" w:cs="TimesNewRoman,Bold"/>
                <w:bCs/>
                <w:szCs w:val="20"/>
                <w:lang w:bidi="ne-NP"/>
              </w:rPr>
            </w:pPr>
            <w:r w:rsidRPr="00DB442A">
              <w:rPr>
                <w:rFonts w:asciiTheme="majorHAnsi" w:hAnsiTheme="majorHAnsi" w:cs="TimesNewRoman,Bold"/>
                <w:bCs/>
                <w:szCs w:val="20"/>
                <w:lang w:bidi="ne-NP"/>
              </w:rPr>
              <w:t>7</w:t>
            </w:r>
          </w:p>
        </w:tc>
        <w:tc>
          <w:tcPr>
            <w:tcW w:w="6750" w:type="dxa"/>
            <w:shd w:val="clear" w:color="auto" w:fill="auto"/>
            <w:vAlign w:val="center"/>
          </w:tcPr>
          <w:p w:rsidR="00DB442A" w:rsidRPr="007A5543" w:rsidRDefault="00DB442A" w:rsidP="00EE10EA">
            <w:pPr>
              <w:autoSpaceDE w:val="0"/>
              <w:autoSpaceDN w:val="0"/>
              <w:adjustRightInd w:val="0"/>
              <w:spacing w:line="240" w:lineRule="auto"/>
              <w:rPr>
                <w:rFonts w:asciiTheme="majorHAnsi" w:hAnsiTheme="majorHAnsi"/>
                <w:szCs w:val="20"/>
                <w:lang w:val="en"/>
              </w:rPr>
            </w:pPr>
            <w:r w:rsidRPr="00DB442A">
              <w:rPr>
                <w:rFonts w:asciiTheme="majorHAnsi" w:hAnsiTheme="majorHAnsi"/>
                <w:szCs w:val="20"/>
                <w:lang w:val="en"/>
              </w:rPr>
              <w:t>Healthy housing and professional exposure to artificial indoor environment (hospital, gym hall, recovery room). Sick building syndrome.</w:t>
            </w:r>
          </w:p>
        </w:tc>
        <w:tc>
          <w:tcPr>
            <w:tcW w:w="1445" w:type="dxa"/>
            <w:vMerge/>
            <w:shd w:val="clear" w:color="auto" w:fill="auto"/>
            <w:vAlign w:val="center"/>
          </w:tcPr>
          <w:p w:rsidR="00DB442A" w:rsidRPr="00DB442A" w:rsidRDefault="00DB442A" w:rsidP="00EE10EA">
            <w:pPr>
              <w:autoSpaceDE w:val="0"/>
              <w:autoSpaceDN w:val="0"/>
              <w:adjustRightInd w:val="0"/>
              <w:spacing w:line="240" w:lineRule="auto"/>
              <w:jc w:val="center"/>
              <w:rPr>
                <w:rFonts w:asciiTheme="majorHAnsi" w:hAnsiTheme="majorHAnsi"/>
                <w:szCs w:val="20"/>
                <w:lang w:val="en"/>
              </w:rPr>
            </w:pPr>
          </w:p>
        </w:tc>
        <w:tc>
          <w:tcPr>
            <w:tcW w:w="1428" w:type="dxa"/>
            <w:shd w:val="clear" w:color="auto" w:fill="auto"/>
            <w:vAlign w:val="center"/>
          </w:tcPr>
          <w:p w:rsidR="00DB442A" w:rsidRPr="00DB442A" w:rsidRDefault="00DB442A" w:rsidP="00EE10EA">
            <w:pPr>
              <w:autoSpaceDE w:val="0"/>
              <w:autoSpaceDN w:val="0"/>
              <w:adjustRightInd w:val="0"/>
              <w:jc w:val="center"/>
              <w:rPr>
                <w:rFonts w:asciiTheme="majorHAnsi" w:hAnsiTheme="majorHAnsi" w:cs="TimesNewRoman,Bold"/>
                <w:bCs/>
                <w:szCs w:val="20"/>
                <w:lang w:val="fr-FR" w:bidi="ne-NP"/>
              </w:rPr>
            </w:pPr>
            <w:r w:rsidRPr="00DB442A">
              <w:rPr>
                <w:rFonts w:asciiTheme="majorHAnsi" w:hAnsiTheme="majorHAnsi" w:cs="TimesNewRoman,Bold"/>
                <w:bCs/>
                <w:szCs w:val="20"/>
                <w:lang w:val="fr-FR" w:bidi="ne-NP"/>
              </w:rPr>
              <w:t xml:space="preserve">2 </w:t>
            </w:r>
            <w:proofErr w:type="spellStart"/>
            <w:r w:rsidRPr="00DB442A">
              <w:rPr>
                <w:rFonts w:asciiTheme="majorHAnsi" w:hAnsiTheme="majorHAnsi" w:cs="TimesNewRoman,Bold"/>
                <w:bCs/>
                <w:szCs w:val="20"/>
                <w:lang w:val="fr-FR" w:bidi="ne-NP"/>
              </w:rPr>
              <w:t>hours</w:t>
            </w:r>
            <w:proofErr w:type="spellEnd"/>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512"/>
        <w:gridCol w:w="1575"/>
        <w:gridCol w:w="1428"/>
      </w:tblGrid>
      <w:tr w:rsidR="00FF45B9" w:rsidRPr="007A5543" w:rsidTr="00EE10EA">
        <w:tc>
          <w:tcPr>
            <w:tcW w:w="6908" w:type="dxa"/>
            <w:gridSpan w:val="2"/>
            <w:shd w:val="clear" w:color="auto" w:fill="F2F2F2" w:themeFill="background1" w:themeFillShade="F2"/>
            <w:vAlign w:val="center"/>
          </w:tcPr>
          <w:p w:rsidR="00FF45B9" w:rsidRPr="007A5543" w:rsidRDefault="00FF45B9" w:rsidP="007A5543">
            <w:pPr>
              <w:autoSpaceDE w:val="0"/>
              <w:autoSpaceDN w:val="0"/>
              <w:adjustRightInd w:val="0"/>
              <w:spacing w:line="240" w:lineRule="auto"/>
              <w:rPr>
                <w:rFonts w:asciiTheme="majorHAnsi" w:hAnsiTheme="majorHAnsi" w:cs="TimesNewRoman,Bold"/>
                <w:b/>
                <w:bCs/>
                <w:szCs w:val="20"/>
                <w:lang w:bidi="ne-NP"/>
              </w:rPr>
            </w:pPr>
            <w:r w:rsidRPr="007A5543">
              <w:rPr>
                <w:rFonts w:asciiTheme="majorHAnsi" w:hAnsiTheme="majorHAnsi" w:cs="TimesNewRoman,Bold"/>
                <w:b/>
                <w:bCs/>
                <w:szCs w:val="20"/>
                <w:lang w:bidi="ne-NP"/>
              </w:rPr>
              <w:t xml:space="preserve">8.2. Practical activities - </w:t>
            </w:r>
            <w:r w:rsidRPr="007A5543">
              <w:rPr>
                <w:rFonts w:asciiTheme="majorHAnsi" w:hAnsiTheme="majorHAnsi" w:cs="TimesNewRoman,Bold"/>
                <w:b/>
                <w:bCs/>
                <w:szCs w:val="20"/>
                <w:lang w:bidi="ne-NP"/>
              </w:rPr>
              <w:fldChar w:fldCharType="begin"/>
            </w:r>
            <w:r w:rsidRPr="007A5543">
              <w:rPr>
                <w:rFonts w:asciiTheme="majorHAnsi" w:hAnsiTheme="majorHAnsi" w:cs="TimesNewRoman,Bold"/>
                <w:b/>
                <w:bCs/>
                <w:szCs w:val="20"/>
                <w:lang w:bidi="ne-NP"/>
              </w:rPr>
              <w:instrText xml:space="preserve"> MERGEFIELD Tip_activ_pr </w:instrText>
            </w:r>
            <w:r w:rsidRPr="007A5543">
              <w:rPr>
                <w:rFonts w:asciiTheme="majorHAnsi" w:hAnsiTheme="majorHAnsi" w:cs="TimesNewRoman,Bold"/>
                <w:b/>
                <w:bCs/>
                <w:szCs w:val="20"/>
                <w:lang w:bidi="ne-NP"/>
              </w:rPr>
              <w:fldChar w:fldCharType="separate"/>
            </w:r>
            <w:r w:rsidRPr="007A5543">
              <w:rPr>
                <w:rFonts w:asciiTheme="majorHAnsi" w:hAnsiTheme="majorHAnsi" w:cs="TimesNewRoman,Bold"/>
                <w:b/>
                <w:bCs/>
                <w:noProof/>
                <w:szCs w:val="20"/>
                <w:lang w:bidi="ne-NP"/>
              </w:rPr>
              <w:t>practical class</w:t>
            </w:r>
            <w:r w:rsidRPr="007A5543">
              <w:rPr>
                <w:rFonts w:asciiTheme="majorHAnsi" w:hAnsiTheme="majorHAnsi" w:cs="TimesNewRoman,Bold"/>
                <w:b/>
                <w:bCs/>
                <w:szCs w:val="20"/>
                <w:lang w:bidi="ne-NP"/>
              </w:rPr>
              <w:fldChar w:fldCharType="end"/>
            </w:r>
            <w:r w:rsidRPr="007A5543">
              <w:rPr>
                <w:rFonts w:asciiTheme="majorHAnsi" w:hAnsiTheme="majorHAnsi" w:cs="TimesNewRoman,Bold"/>
                <w:b/>
                <w:bCs/>
                <w:szCs w:val="20"/>
                <w:lang w:bidi="ne-NP"/>
              </w:rPr>
              <w:t xml:space="preserve">es </w:t>
            </w:r>
          </w:p>
        </w:tc>
        <w:tc>
          <w:tcPr>
            <w:tcW w:w="1575" w:type="dxa"/>
            <w:shd w:val="clear" w:color="auto" w:fill="F2F2F2" w:themeFill="background1" w:themeFillShade="F2"/>
            <w:vAlign w:val="center"/>
          </w:tcPr>
          <w:p w:rsidR="00FF45B9" w:rsidRPr="007A5543" w:rsidRDefault="00FF45B9" w:rsidP="007A5543">
            <w:pPr>
              <w:autoSpaceDE w:val="0"/>
              <w:autoSpaceDN w:val="0"/>
              <w:adjustRightInd w:val="0"/>
              <w:spacing w:line="240" w:lineRule="auto"/>
              <w:jc w:val="center"/>
              <w:rPr>
                <w:rFonts w:asciiTheme="majorHAnsi" w:hAnsiTheme="majorHAnsi" w:cs="TimesNewRoman,Bold"/>
                <w:b/>
                <w:bCs/>
                <w:szCs w:val="20"/>
                <w:lang w:bidi="ne-NP"/>
              </w:rPr>
            </w:pPr>
            <w:r w:rsidRPr="007A5543">
              <w:rPr>
                <w:rFonts w:asciiTheme="majorHAnsi" w:hAnsiTheme="majorHAnsi" w:cs="TimesNewRoman,Bold"/>
                <w:b/>
                <w:bCs/>
                <w:szCs w:val="20"/>
                <w:lang w:bidi="ne-NP"/>
              </w:rPr>
              <w:t>Teaching methods</w:t>
            </w:r>
          </w:p>
        </w:tc>
        <w:tc>
          <w:tcPr>
            <w:tcW w:w="1428" w:type="dxa"/>
            <w:shd w:val="clear" w:color="auto" w:fill="F2F2F2" w:themeFill="background1" w:themeFillShade="F2"/>
            <w:vAlign w:val="center"/>
          </w:tcPr>
          <w:p w:rsidR="00FF45B9" w:rsidRPr="007A5543" w:rsidRDefault="00FF45B9" w:rsidP="007A5543">
            <w:pPr>
              <w:autoSpaceDE w:val="0"/>
              <w:autoSpaceDN w:val="0"/>
              <w:adjustRightInd w:val="0"/>
              <w:spacing w:line="240" w:lineRule="auto"/>
              <w:jc w:val="center"/>
              <w:rPr>
                <w:rFonts w:asciiTheme="majorHAnsi" w:hAnsiTheme="majorHAnsi" w:cs="TimesNewRoman,Bold"/>
                <w:b/>
                <w:bCs/>
                <w:szCs w:val="20"/>
                <w:lang w:bidi="ne-NP"/>
              </w:rPr>
            </w:pPr>
            <w:r w:rsidRPr="007A5543">
              <w:rPr>
                <w:rFonts w:asciiTheme="majorHAnsi" w:hAnsiTheme="majorHAnsi" w:cs="TimesNewRoman,Bold"/>
                <w:b/>
                <w:bCs/>
                <w:szCs w:val="20"/>
                <w:lang w:bidi="ne-NP"/>
              </w:rPr>
              <w:t>Observations</w:t>
            </w:r>
          </w:p>
        </w:tc>
      </w:tr>
      <w:tr w:rsidR="007A5543" w:rsidRPr="007A5543" w:rsidTr="00EE10EA">
        <w:tc>
          <w:tcPr>
            <w:tcW w:w="396" w:type="dxa"/>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r w:rsidRPr="007A5543">
              <w:rPr>
                <w:rFonts w:asciiTheme="majorHAnsi" w:hAnsiTheme="majorHAnsi" w:cs="TimesNewRoman,Bold"/>
                <w:bCs/>
                <w:szCs w:val="20"/>
                <w:lang w:bidi="ne-NP"/>
              </w:rPr>
              <w:t>1.</w:t>
            </w:r>
          </w:p>
        </w:tc>
        <w:tc>
          <w:tcPr>
            <w:tcW w:w="6512" w:type="dxa"/>
            <w:shd w:val="clear" w:color="auto" w:fill="auto"/>
            <w:vAlign w:val="center"/>
          </w:tcPr>
          <w:p w:rsidR="007A5543" w:rsidRPr="007A5543" w:rsidRDefault="007A5543" w:rsidP="007A5543">
            <w:pPr>
              <w:pStyle w:val="Default"/>
              <w:rPr>
                <w:rFonts w:asciiTheme="majorHAnsi" w:hAnsiTheme="majorHAnsi"/>
                <w:sz w:val="20"/>
                <w:szCs w:val="20"/>
              </w:rPr>
            </w:pPr>
            <w:r w:rsidRPr="007A5543">
              <w:rPr>
                <w:rFonts w:asciiTheme="majorHAnsi" w:hAnsiTheme="majorHAnsi"/>
                <w:sz w:val="20"/>
                <w:szCs w:val="20"/>
                <w:lang w:val="en"/>
              </w:rPr>
              <w:t>Methodology for conducting qualitative surveys</w:t>
            </w:r>
          </w:p>
          <w:p w:rsidR="007A5543" w:rsidRPr="007A5543" w:rsidRDefault="007A5543" w:rsidP="007A5543">
            <w:pPr>
              <w:pStyle w:val="Default"/>
              <w:rPr>
                <w:rFonts w:asciiTheme="majorHAnsi" w:hAnsiTheme="majorHAnsi"/>
                <w:sz w:val="20"/>
                <w:szCs w:val="20"/>
              </w:rPr>
            </w:pPr>
            <w:proofErr w:type="gramStart"/>
            <w:r w:rsidRPr="007A5543">
              <w:rPr>
                <w:rFonts w:asciiTheme="majorHAnsi" w:hAnsiTheme="majorHAnsi"/>
                <w:sz w:val="20"/>
                <w:szCs w:val="20"/>
                <w:lang w:val="en"/>
              </w:rPr>
              <w:t>on</w:t>
            </w:r>
            <w:proofErr w:type="gramEnd"/>
            <w:r w:rsidRPr="007A5543">
              <w:rPr>
                <w:rFonts w:asciiTheme="majorHAnsi" w:hAnsiTheme="majorHAnsi"/>
                <w:sz w:val="20"/>
                <w:szCs w:val="20"/>
                <w:lang w:val="en"/>
              </w:rPr>
              <w:t xml:space="preserve"> nutrients and energy assessment of food intake.</w:t>
            </w:r>
          </w:p>
        </w:tc>
        <w:tc>
          <w:tcPr>
            <w:tcW w:w="1575" w:type="dxa"/>
            <w:vMerge w:val="restart"/>
            <w:shd w:val="clear" w:color="auto" w:fill="auto"/>
            <w:vAlign w:val="center"/>
          </w:tcPr>
          <w:p w:rsidR="007A5543" w:rsidRPr="007A5543" w:rsidRDefault="007A5543" w:rsidP="007A5543">
            <w:pPr>
              <w:pStyle w:val="Default"/>
              <w:jc w:val="center"/>
              <w:rPr>
                <w:rFonts w:asciiTheme="majorHAnsi" w:hAnsiTheme="majorHAnsi"/>
                <w:sz w:val="20"/>
                <w:szCs w:val="20"/>
              </w:rPr>
            </w:pPr>
            <w:r w:rsidRPr="007A5543">
              <w:rPr>
                <w:rFonts w:asciiTheme="majorHAnsi" w:hAnsiTheme="majorHAnsi"/>
                <w:sz w:val="20"/>
                <w:szCs w:val="20"/>
                <w:lang w:val="en"/>
              </w:rPr>
              <w:t>Individual work</w:t>
            </w:r>
          </w:p>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r w:rsidRPr="007A5543">
              <w:rPr>
                <w:rFonts w:asciiTheme="majorHAnsi" w:hAnsiTheme="majorHAnsi"/>
                <w:szCs w:val="20"/>
                <w:lang w:val="en"/>
              </w:rPr>
              <w:t>and teamwork</w:t>
            </w:r>
          </w:p>
        </w:tc>
        <w:tc>
          <w:tcPr>
            <w:tcW w:w="1428" w:type="dxa"/>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r w:rsidRPr="007A5543">
              <w:rPr>
                <w:rFonts w:asciiTheme="majorHAnsi" w:hAnsiTheme="majorHAnsi" w:cs="TimesNewRoman,Bold"/>
                <w:bCs/>
                <w:szCs w:val="20"/>
                <w:lang w:bidi="ne-NP"/>
              </w:rPr>
              <w:t>2 hours</w:t>
            </w:r>
          </w:p>
        </w:tc>
      </w:tr>
      <w:tr w:rsidR="007A5543" w:rsidRPr="007A5543" w:rsidTr="00EE10EA">
        <w:tc>
          <w:tcPr>
            <w:tcW w:w="396" w:type="dxa"/>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r w:rsidRPr="007A5543">
              <w:rPr>
                <w:rFonts w:asciiTheme="majorHAnsi" w:hAnsiTheme="majorHAnsi" w:cs="TimesNewRoman,Bold"/>
                <w:bCs/>
                <w:szCs w:val="20"/>
                <w:lang w:bidi="ne-NP"/>
              </w:rPr>
              <w:t>2.</w:t>
            </w:r>
          </w:p>
        </w:tc>
        <w:tc>
          <w:tcPr>
            <w:tcW w:w="6512" w:type="dxa"/>
            <w:shd w:val="clear" w:color="auto" w:fill="auto"/>
            <w:vAlign w:val="center"/>
          </w:tcPr>
          <w:p w:rsidR="007A5543" w:rsidRPr="007A5543" w:rsidRDefault="007A5543" w:rsidP="007A5543">
            <w:pPr>
              <w:pStyle w:val="Default"/>
              <w:rPr>
                <w:rFonts w:asciiTheme="majorHAnsi" w:hAnsiTheme="majorHAnsi"/>
                <w:sz w:val="20"/>
                <w:szCs w:val="20"/>
              </w:rPr>
            </w:pPr>
            <w:r w:rsidRPr="007A5543">
              <w:rPr>
                <w:rFonts w:asciiTheme="majorHAnsi" w:hAnsiTheme="majorHAnsi"/>
                <w:sz w:val="20"/>
                <w:szCs w:val="20"/>
                <w:lang w:val="en"/>
              </w:rPr>
              <w:t>Methodology for conducting quantitative surveys on food groups.</w:t>
            </w:r>
          </w:p>
        </w:tc>
        <w:tc>
          <w:tcPr>
            <w:tcW w:w="1575" w:type="dxa"/>
            <w:vMerge/>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p>
        </w:tc>
        <w:tc>
          <w:tcPr>
            <w:tcW w:w="1428" w:type="dxa"/>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r w:rsidRPr="007A5543">
              <w:rPr>
                <w:rFonts w:asciiTheme="majorHAnsi" w:hAnsiTheme="majorHAnsi" w:cs="TimesNewRoman,Bold"/>
                <w:bCs/>
                <w:szCs w:val="20"/>
                <w:lang w:bidi="ne-NP"/>
              </w:rPr>
              <w:t>2 hours</w:t>
            </w:r>
          </w:p>
        </w:tc>
      </w:tr>
      <w:tr w:rsidR="007A5543" w:rsidRPr="007A5543" w:rsidTr="00EE10EA">
        <w:tc>
          <w:tcPr>
            <w:tcW w:w="396" w:type="dxa"/>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r w:rsidRPr="007A5543">
              <w:rPr>
                <w:rFonts w:asciiTheme="majorHAnsi" w:hAnsiTheme="majorHAnsi" w:cs="TimesNewRoman,Bold"/>
                <w:bCs/>
                <w:szCs w:val="20"/>
                <w:lang w:bidi="ne-NP"/>
              </w:rPr>
              <w:t>3.</w:t>
            </w:r>
          </w:p>
        </w:tc>
        <w:tc>
          <w:tcPr>
            <w:tcW w:w="6512" w:type="dxa"/>
            <w:shd w:val="clear" w:color="auto" w:fill="auto"/>
            <w:vAlign w:val="center"/>
          </w:tcPr>
          <w:p w:rsidR="007A5543" w:rsidRPr="007A5543" w:rsidRDefault="007A5543" w:rsidP="007A5543">
            <w:pPr>
              <w:pStyle w:val="Default"/>
              <w:rPr>
                <w:rFonts w:asciiTheme="majorHAnsi" w:hAnsiTheme="majorHAnsi" w:cs="TimesNewRoman,Bold"/>
                <w:bCs/>
                <w:sz w:val="20"/>
                <w:szCs w:val="20"/>
                <w:lang w:bidi="ne-NP"/>
              </w:rPr>
            </w:pPr>
            <w:r w:rsidRPr="007A5543">
              <w:rPr>
                <w:rFonts w:asciiTheme="majorHAnsi" w:hAnsiTheme="majorHAnsi"/>
                <w:sz w:val="20"/>
                <w:szCs w:val="20"/>
                <w:lang w:val="en"/>
              </w:rPr>
              <w:t>Methodology for determining air pollution in an urban area.</w:t>
            </w:r>
          </w:p>
        </w:tc>
        <w:tc>
          <w:tcPr>
            <w:tcW w:w="1575" w:type="dxa"/>
            <w:vMerge/>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p>
        </w:tc>
        <w:tc>
          <w:tcPr>
            <w:tcW w:w="1428" w:type="dxa"/>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r w:rsidRPr="007A5543">
              <w:rPr>
                <w:rFonts w:asciiTheme="majorHAnsi" w:hAnsiTheme="majorHAnsi" w:cs="TimesNewRoman,Bold"/>
                <w:bCs/>
                <w:szCs w:val="20"/>
                <w:lang w:bidi="ne-NP"/>
              </w:rPr>
              <w:t>2 hours</w:t>
            </w:r>
          </w:p>
        </w:tc>
      </w:tr>
      <w:tr w:rsidR="007A5543" w:rsidRPr="007A5543" w:rsidTr="00EE10EA">
        <w:tc>
          <w:tcPr>
            <w:tcW w:w="396" w:type="dxa"/>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r w:rsidRPr="007A5543">
              <w:rPr>
                <w:rFonts w:asciiTheme="majorHAnsi" w:hAnsiTheme="majorHAnsi" w:cs="TimesNewRoman,Bold"/>
                <w:bCs/>
                <w:szCs w:val="20"/>
                <w:lang w:bidi="ne-NP"/>
              </w:rPr>
              <w:t>4.</w:t>
            </w:r>
          </w:p>
        </w:tc>
        <w:tc>
          <w:tcPr>
            <w:tcW w:w="6512" w:type="dxa"/>
            <w:shd w:val="clear" w:color="auto" w:fill="auto"/>
            <w:vAlign w:val="center"/>
          </w:tcPr>
          <w:p w:rsidR="007A5543" w:rsidRPr="007A5543" w:rsidRDefault="007A5543" w:rsidP="007A5543">
            <w:pPr>
              <w:autoSpaceDE w:val="0"/>
              <w:autoSpaceDN w:val="0"/>
              <w:adjustRightInd w:val="0"/>
              <w:spacing w:line="240" w:lineRule="auto"/>
              <w:rPr>
                <w:rFonts w:asciiTheme="majorHAnsi" w:hAnsiTheme="majorHAnsi" w:cs="TimesNewRoman,Bold"/>
                <w:bCs/>
                <w:szCs w:val="20"/>
                <w:lang w:bidi="ne-NP"/>
              </w:rPr>
            </w:pPr>
            <w:r w:rsidRPr="007A5543">
              <w:rPr>
                <w:rFonts w:asciiTheme="majorHAnsi" w:hAnsiTheme="majorHAnsi"/>
                <w:szCs w:val="20"/>
                <w:lang w:val="en"/>
              </w:rPr>
              <w:t>Methodology for assessing the contamination of medical devices, surfaces, hands in the prevention of healthcare-associated infections.</w:t>
            </w:r>
          </w:p>
        </w:tc>
        <w:tc>
          <w:tcPr>
            <w:tcW w:w="1575" w:type="dxa"/>
            <w:vMerge/>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p>
        </w:tc>
        <w:tc>
          <w:tcPr>
            <w:tcW w:w="1428" w:type="dxa"/>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r w:rsidRPr="007A5543">
              <w:rPr>
                <w:rFonts w:asciiTheme="majorHAnsi" w:hAnsiTheme="majorHAnsi" w:cs="TimesNewRoman,Bold"/>
                <w:bCs/>
                <w:szCs w:val="20"/>
                <w:lang w:bidi="ne-NP"/>
              </w:rPr>
              <w:t>2 hours</w:t>
            </w:r>
          </w:p>
        </w:tc>
      </w:tr>
      <w:tr w:rsidR="007A5543" w:rsidRPr="007A5543" w:rsidTr="00EE10EA">
        <w:tc>
          <w:tcPr>
            <w:tcW w:w="396" w:type="dxa"/>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r w:rsidRPr="007A5543">
              <w:rPr>
                <w:rFonts w:asciiTheme="majorHAnsi" w:hAnsiTheme="majorHAnsi" w:cs="TimesNewRoman,Bold"/>
                <w:bCs/>
                <w:szCs w:val="20"/>
                <w:lang w:bidi="ne-NP"/>
              </w:rPr>
              <w:t>5.</w:t>
            </w:r>
          </w:p>
        </w:tc>
        <w:tc>
          <w:tcPr>
            <w:tcW w:w="6512" w:type="dxa"/>
            <w:shd w:val="clear" w:color="auto" w:fill="auto"/>
            <w:vAlign w:val="center"/>
          </w:tcPr>
          <w:p w:rsidR="007A5543" w:rsidRPr="007A5543" w:rsidRDefault="007A5543" w:rsidP="007A5543">
            <w:pPr>
              <w:pStyle w:val="Default"/>
              <w:rPr>
                <w:rFonts w:asciiTheme="majorHAnsi" w:hAnsiTheme="majorHAnsi"/>
                <w:sz w:val="20"/>
                <w:szCs w:val="20"/>
                <w:lang w:val="en"/>
              </w:rPr>
            </w:pPr>
            <w:r w:rsidRPr="007A5543">
              <w:rPr>
                <w:rFonts w:asciiTheme="majorHAnsi" w:hAnsiTheme="majorHAnsi"/>
                <w:sz w:val="20"/>
                <w:szCs w:val="20"/>
                <w:lang w:val="en"/>
              </w:rPr>
              <w:t xml:space="preserve">Establishing the physical, chemical and microbiological </w:t>
            </w:r>
          </w:p>
          <w:p w:rsidR="007A5543" w:rsidRPr="007A5543" w:rsidRDefault="007A5543" w:rsidP="007A5543">
            <w:pPr>
              <w:pStyle w:val="Default"/>
              <w:rPr>
                <w:rFonts w:asciiTheme="majorHAnsi" w:hAnsiTheme="majorHAnsi" w:cs="TimesNewRoman,Bold"/>
                <w:bCs/>
                <w:sz w:val="20"/>
                <w:szCs w:val="20"/>
                <w:lang w:bidi="ne-NP"/>
              </w:rPr>
            </w:pPr>
            <w:proofErr w:type="gramStart"/>
            <w:r w:rsidRPr="007A5543">
              <w:rPr>
                <w:rFonts w:asciiTheme="majorHAnsi" w:hAnsiTheme="majorHAnsi"/>
                <w:sz w:val="20"/>
                <w:szCs w:val="20"/>
                <w:lang w:val="en"/>
              </w:rPr>
              <w:t>diagnosis</w:t>
            </w:r>
            <w:proofErr w:type="gramEnd"/>
            <w:r w:rsidRPr="007A5543">
              <w:rPr>
                <w:rFonts w:asciiTheme="majorHAnsi" w:hAnsiTheme="majorHAnsi"/>
                <w:sz w:val="20"/>
                <w:szCs w:val="20"/>
                <w:lang w:val="en"/>
              </w:rPr>
              <w:t xml:space="preserve"> of drinking water.</w:t>
            </w:r>
          </w:p>
        </w:tc>
        <w:tc>
          <w:tcPr>
            <w:tcW w:w="1575" w:type="dxa"/>
            <w:vMerge/>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p>
        </w:tc>
        <w:tc>
          <w:tcPr>
            <w:tcW w:w="1428" w:type="dxa"/>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r w:rsidRPr="007A5543">
              <w:rPr>
                <w:rFonts w:asciiTheme="majorHAnsi" w:hAnsiTheme="majorHAnsi" w:cs="TimesNewRoman,Bold"/>
                <w:bCs/>
                <w:szCs w:val="20"/>
                <w:lang w:bidi="ne-NP"/>
              </w:rPr>
              <w:t>2 hours</w:t>
            </w:r>
          </w:p>
        </w:tc>
      </w:tr>
      <w:tr w:rsidR="007A5543" w:rsidRPr="007A5543" w:rsidTr="00EE10EA">
        <w:tc>
          <w:tcPr>
            <w:tcW w:w="396" w:type="dxa"/>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r w:rsidRPr="007A5543">
              <w:rPr>
                <w:rFonts w:asciiTheme="majorHAnsi" w:hAnsiTheme="majorHAnsi" w:cs="TimesNewRoman,Bold"/>
                <w:bCs/>
                <w:szCs w:val="20"/>
                <w:lang w:bidi="ne-NP"/>
              </w:rPr>
              <w:t>6.</w:t>
            </w:r>
          </w:p>
        </w:tc>
        <w:tc>
          <w:tcPr>
            <w:tcW w:w="6512" w:type="dxa"/>
            <w:shd w:val="clear" w:color="auto" w:fill="auto"/>
            <w:vAlign w:val="center"/>
          </w:tcPr>
          <w:p w:rsidR="007A5543" w:rsidRPr="007A5543" w:rsidRDefault="007A5543" w:rsidP="007A5543">
            <w:pPr>
              <w:autoSpaceDE w:val="0"/>
              <w:autoSpaceDN w:val="0"/>
              <w:adjustRightInd w:val="0"/>
              <w:spacing w:line="240" w:lineRule="auto"/>
              <w:rPr>
                <w:rFonts w:asciiTheme="majorHAnsi" w:hAnsiTheme="majorHAnsi"/>
                <w:szCs w:val="20"/>
                <w:lang w:val="en"/>
              </w:rPr>
            </w:pPr>
            <w:r w:rsidRPr="007A5543">
              <w:rPr>
                <w:rFonts w:asciiTheme="majorHAnsi" w:hAnsiTheme="majorHAnsi"/>
                <w:szCs w:val="20"/>
                <w:lang w:val="en"/>
              </w:rPr>
              <w:t xml:space="preserve">Establishing the </w:t>
            </w:r>
            <w:proofErr w:type="spellStart"/>
            <w:r w:rsidRPr="007A5543">
              <w:rPr>
                <w:rFonts w:asciiTheme="majorHAnsi" w:hAnsiTheme="majorHAnsi"/>
                <w:szCs w:val="20"/>
                <w:lang w:val="en"/>
              </w:rPr>
              <w:t>corelative</w:t>
            </w:r>
            <w:proofErr w:type="spellEnd"/>
            <w:r w:rsidRPr="007A5543">
              <w:rPr>
                <w:rFonts w:asciiTheme="majorHAnsi" w:hAnsiTheme="majorHAnsi"/>
                <w:szCs w:val="20"/>
                <w:lang w:val="en"/>
              </w:rPr>
              <w:t xml:space="preserve"> diagnosis of physical development </w:t>
            </w:r>
          </w:p>
          <w:p w:rsidR="007A5543" w:rsidRPr="007A5543" w:rsidRDefault="007A5543" w:rsidP="007A5543">
            <w:pPr>
              <w:autoSpaceDE w:val="0"/>
              <w:autoSpaceDN w:val="0"/>
              <w:adjustRightInd w:val="0"/>
              <w:spacing w:line="240" w:lineRule="auto"/>
              <w:rPr>
                <w:rFonts w:asciiTheme="majorHAnsi" w:hAnsiTheme="majorHAnsi" w:cs="TimesNewRoman,Bold"/>
                <w:bCs/>
                <w:szCs w:val="20"/>
                <w:lang w:bidi="ne-NP"/>
              </w:rPr>
            </w:pPr>
            <w:proofErr w:type="gramStart"/>
            <w:r w:rsidRPr="007A5543">
              <w:rPr>
                <w:rFonts w:asciiTheme="majorHAnsi" w:hAnsiTheme="majorHAnsi"/>
                <w:szCs w:val="20"/>
                <w:lang w:val="en"/>
              </w:rPr>
              <w:t>of</w:t>
            </w:r>
            <w:proofErr w:type="gramEnd"/>
            <w:r w:rsidRPr="007A5543">
              <w:rPr>
                <w:rFonts w:asciiTheme="majorHAnsi" w:hAnsiTheme="majorHAnsi"/>
                <w:szCs w:val="20"/>
                <w:lang w:val="en"/>
              </w:rPr>
              <w:t xml:space="preserve"> children and teenagers.</w:t>
            </w:r>
          </w:p>
        </w:tc>
        <w:tc>
          <w:tcPr>
            <w:tcW w:w="1575" w:type="dxa"/>
            <w:vMerge/>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p>
        </w:tc>
        <w:tc>
          <w:tcPr>
            <w:tcW w:w="1428" w:type="dxa"/>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r w:rsidRPr="007A5543">
              <w:rPr>
                <w:rFonts w:asciiTheme="majorHAnsi" w:hAnsiTheme="majorHAnsi" w:cs="TimesNewRoman,Bold"/>
                <w:bCs/>
                <w:szCs w:val="20"/>
                <w:lang w:bidi="ne-NP"/>
              </w:rPr>
              <w:t>2 hours</w:t>
            </w:r>
          </w:p>
        </w:tc>
      </w:tr>
      <w:tr w:rsidR="007A5543" w:rsidRPr="007A5543" w:rsidTr="00EE10EA">
        <w:tc>
          <w:tcPr>
            <w:tcW w:w="396" w:type="dxa"/>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r w:rsidRPr="007A5543">
              <w:rPr>
                <w:rFonts w:asciiTheme="majorHAnsi" w:hAnsiTheme="majorHAnsi" w:cs="TimesNewRoman,Bold"/>
                <w:bCs/>
                <w:szCs w:val="20"/>
                <w:lang w:bidi="ne-NP"/>
              </w:rPr>
              <w:t>7.</w:t>
            </w:r>
          </w:p>
        </w:tc>
        <w:tc>
          <w:tcPr>
            <w:tcW w:w="6512" w:type="dxa"/>
            <w:shd w:val="clear" w:color="auto" w:fill="auto"/>
            <w:vAlign w:val="center"/>
          </w:tcPr>
          <w:p w:rsidR="007A5543" w:rsidRPr="007A5543" w:rsidRDefault="007A5543" w:rsidP="007A5543">
            <w:pPr>
              <w:autoSpaceDE w:val="0"/>
              <w:autoSpaceDN w:val="0"/>
              <w:adjustRightInd w:val="0"/>
              <w:spacing w:line="240" w:lineRule="auto"/>
              <w:rPr>
                <w:rFonts w:asciiTheme="majorHAnsi" w:hAnsiTheme="majorHAnsi" w:cs="TimesNewRoman,Bold"/>
                <w:bCs/>
                <w:szCs w:val="20"/>
                <w:lang w:bidi="ne-NP"/>
              </w:rPr>
            </w:pPr>
            <w:r w:rsidRPr="007A5543">
              <w:rPr>
                <w:rFonts w:asciiTheme="majorHAnsi" w:hAnsiTheme="majorHAnsi"/>
                <w:szCs w:val="20"/>
                <w:lang w:val="en"/>
              </w:rPr>
              <w:t>Determination of the microclimate quality inside the house.</w:t>
            </w:r>
          </w:p>
        </w:tc>
        <w:tc>
          <w:tcPr>
            <w:tcW w:w="1575" w:type="dxa"/>
            <w:vMerge/>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p>
        </w:tc>
        <w:tc>
          <w:tcPr>
            <w:tcW w:w="1428" w:type="dxa"/>
            <w:shd w:val="clear" w:color="auto" w:fill="auto"/>
            <w:vAlign w:val="center"/>
          </w:tcPr>
          <w:p w:rsidR="007A5543" w:rsidRPr="007A5543" w:rsidRDefault="007A5543" w:rsidP="007A5543">
            <w:pPr>
              <w:autoSpaceDE w:val="0"/>
              <w:autoSpaceDN w:val="0"/>
              <w:adjustRightInd w:val="0"/>
              <w:spacing w:line="240" w:lineRule="auto"/>
              <w:jc w:val="center"/>
              <w:rPr>
                <w:rFonts w:asciiTheme="majorHAnsi" w:hAnsiTheme="majorHAnsi" w:cs="TimesNewRoman,Bold"/>
                <w:bCs/>
                <w:szCs w:val="20"/>
                <w:lang w:bidi="ne-NP"/>
              </w:rPr>
            </w:pPr>
            <w:r w:rsidRPr="007A5543">
              <w:rPr>
                <w:rFonts w:asciiTheme="majorHAnsi" w:hAnsiTheme="majorHAnsi" w:cs="TimesNewRoman,Bold"/>
                <w:bCs/>
                <w:szCs w:val="20"/>
                <w:lang w:bidi="ne-NP"/>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969"/>
      </w:tblGrid>
      <w:tr w:rsidR="00830AAE" w:rsidTr="007A5543">
        <w:trPr>
          <w:trHeight w:val="124"/>
        </w:trPr>
        <w:tc>
          <w:tcPr>
            <w:tcW w:w="9969" w:type="dxa"/>
            <w:shd w:val="clear" w:color="auto" w:fill="F2F2F2" w:themeFill="background1" w:themeFillShade="F2"/>
          </w:tcPr>
          <w:p w:rsidR="00830AAE" w:rsidRPr="009651D7"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7A5543">
        <w:trPr>
          <w:trHeight w:val="2635"/>
        </w:trPr>
        <w:tc>
          <w:tcPr>
            <w:tcW w:w="9969" w:type="dxa"/>
          </w:tcPr>
          <w:p w:rsidR="00830AAE" w:rsidRDefault="006B7D20" w:rsidP="006D03C7">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i/>
                <w:szCs w:val="20"/>
                <w:lang w:bidi="ne-NP"/>
              </w:rPr>
              <w:lastRenderedPageBreak/>
              <w:t>Mandatory</w:t>
            </w:r>
            <w:r w:rsidR="000C7BDB">
              <w:rPr>
                <w:rFonts w:asciiTheme="majorHAnsi" w:hAnsiTheme="majorHAnsi" w:cs="TimesNewRoman,Bold"/>
                <w:b/>
                <w:bCs/>
                <w:i/>
                <w:szCs w:val="20"/>
                <w:lang w:bidi="ne-NP"/>
              </w:rPr>
              <w:t>:</w:t>
            </w:r>
          </w:p>
          <w:p w:rsidR="007A5543" w:rsidRDefault="00FF45B9" w:rsidP="00FF45B9">
            <w:pPr>
              <w:autoSpaceDE w:val="0"/>
              <w:autoSpaceDN w:val="0"/>
              <w:adjustRightInd w:val="0"/>
              <w:spacing w:line="240" w:lineRule="auto"/>
              <w:rPr>
                <w:rFonts w:cs="Trebuchet MS"/>
                <w:color w:val="000000"/>
                <w:szCs w:val="20"/>
              </w:rPr>
            </w:pPr>
            <w:r w:rsidRPr="00FF45B9">
              <w:rPr>
                <w:rFonts w:cs="Trebuchet MS"/>
                <w:color w:val="000000"/>
                <w:szCs w:val="20"/>
              </w:rPr>
              <w:t>1. Lectures</w:t>
            </w:r>
            <w:r w:rsidRPr="00FF45B9">
              <w:rPr>
                <w:color w:val="000000"/>
                <w:szCs w:val="20"/>
                <w:lang w:val="en"/>
              </w:rPr>
              <w:t xml:space="preserve"> and practical work support posted on the </w:t>
            </w:r>
            <w:r w:rsidRPr="00FF45B9">
              <w:rPr>
                <w:i/>
                <w:iCs/>
                <w:color w:val="000000"/>
                <w:szCs w:val="20"/>
                <w:lang w:val="en"/>
              </w:rPr>
              <w:t xml:space="preserve">e-learning </w:t>
            </w:r>
            <w:r w:rsidRPr="00FF45B9">
              <w:rPr>
                <w:szCs w:val="20"/>
                <w:lang w:val="en"/>
              </w:rPr>
              <w:t xml:space="preserve">platform of </w:t>
            </w:r>
            <w:r w:rsidRPr="00FF45B9">
              <w:rPr>
                <w:rFonts w:cs="Trebuchet MS"/>
                <w:color w:val="000000"/>
                <w:szCs w:val="20"/>
              </w:rPr>
              <w:t>„Grigore T. Popa” U.M.Ph. from Iași</w:t>
            </w:r>
          </w:p>
          <w:p w:rsidR="00FF45B9" w:rsidRPr="00FF45B9" w:rsidRDefault="00FF45B9" w:rsidP="00FF45B9">
            <w:pPr>
              <w:autoSpaceDE w:val="0"/>
              <w:autoSpaceDN w:val="0"/>
              <w:adjustRightInd w:val="0"/>
              <w:spacing w:line="240" w:lineRule="auto"/>
              <w:rPr>
                <w:rFonts w:cs="Trebuchet MS"/>
                <w:color w:val="000000"/>
                <w:szCs w:val="20"/>
              </w:rPr>
            </w:pPr>
            <w:r w:rsidRPr="00FF45B9">
              <w:rPr>
                <w:rFonts w:cs="Trebuchet MS"/>
                <w:color w:val="000000"/>
                <w:szCs w:val="20"/>
              </w:rPr>
              <w:t xml:space="preserve">2. Cepoi V., Azoicăi D. </w:t>
            </w:r>
            <w:r w:rsidRPr="00FF45B9">
              <w:rPr>
                <w:rFonts w:cs="Trebuchet MS"/>
                <w:i/>
                <w:iCs/>
                <w:color w:val="000000"/>
                <w:szCs w:val="20"/>
              </w:rPr>
              <w:t xml:space="preserve">Ghid de management al infecțiilor asociate asistenței medicale, </w:t>
            </w:r>
            <w:r w:rsidRPr="00FF45B9">
              <w:rPr>
                <w:rFonts w:cs="Trebuchet MS"/>
                <w:color w:val="000000"/>
                <w:szCs w:val="20"/>
              </w:rPr>
              <w:t xml:space="preserve">ediția a II-a, București: Editura SC Global Management Arte, 2017. </w:t>
            </w:r>
          </w:p>
          <w:p w:rsidR="00FF45B9" w:rsidRPr="00FF45B9" w:rsidRDefault="00FF45B9" w:rsidP="00FF45B9">
            <w:pPr>
              <w:autoSpaceDE w:val="0"/>
              <w:autoSpaceDN w:val="0"/>
              <w:adjustRightInd w:val="0"/>
              <w:spacing w:line="240" w:lineRule="auto"/>
              <w:rPr>
                <w:rFonts w:cs="Trebuchet MS"/>
                <w:color w:val="000000"/>
                <w:szCs w:val="20"/>
              </w:rPr>
            </w:pPr>
            <w:r w:rsidRPr="00FF45B9">
              <w:rPr>
                <w:rFonts w:cs="Trebuchet MS"/>
                <w:color w:val="000000"/>
                <w:szCs w:val="20"/>
              </w:rPr>
              <w:t xml:space="preserve">3. Gavăt V, Petrariu F.D., Gavăt C.C., Azoicăi D. </w:t>
            </w:r>
            <w:r w:rsidRPr="00FF45B9">
              <w:rPr>
                <w:rFonts w:cs="Trebuchet MS"/>
                <w:i/>
                <w:iCs/>
                <w:color w:val="000000"/>
                <w:szCs w:val="20"/>
              </w:rPr>
              <w:t>Factorii de risc din mediu şi sănătatea</w:t>
            </w:r>
            <w:r w:rsidRPr="00FF45B9">
              <w:rPr>
                <w:rFonts w:cs="Trebuchet MS"/>
                <w:color w:val="000000"/>
                <w:szCs w:val="20"/>
              </w:rPr>
              <w:t xml:space="preserve">, </w:t>
            </w:r>
          </w:p>
          <w:p w:rsidR="00FF45B9" w:rsidRPr="00FF45B9" w:rsidRDefault="00FF45B9" w:rsidP="00FF45B9">
            <w:pPr>
              <w:autoSpaceDE w:val="0"/>
              <w:autoSpaceDN w:val="0"/>
              <w:adjustRightInd w:val="0"/>
              <w:spacing w:line="240" w:lineRule="auto"/>
              <w:rPr>
                <w:rFonts w:cs="Trebuchet MS"/>
                <w:color w:val="000000"/>
                <w:szCs w:val="20"/>
              </w:rPr>
            </w:pPr>
            <w:r w:rsidRPr="00FF45B9">
              <w:rPr>
                <w:rFonts w:cs="Trebuchet MS"/>
                <w:color w:val="000000"/>
                <w:szCs w:val="20"/>
              </w:rPr>
              <w:t xml:space="preserve">Iași: Editura EditDAN, 2001. </w:t>
            </w:r>
          </w:p>
          <w:p w:rsidR="00FF45B9" w:rsidRPr="00FF45B9" w:rsidRDefault="00FF45B9" w:rsidP="00FF45B9">
            <w:pPr>
              <w:autoSpaceDE w:val="0"/>
              <w:autoSpaceDN w:val="0"/>
              <w:adjustRightInd w:val="0"/>
              <w:spacing w:line="240" w:lineRule="auto"/>
              <w:rPr>
                <w:rFonts w:cs="Trebuchet MS"/>
                <w:color w:val="000000"/>
                <w:szCs w:val="20"/>
              </w:rPr>
            </w:pPr>
            <w:r w:rsidRPr="00FF45B9">
              <w:rPr>
                <w:rFonts w:cs="Trebuchet MS"/>
                <w:color w:val="000000"/>
                <w:szCs w:val="20"/>
              </w:rPr>
              <w:t xml:space="preserve">4. Gavăt V., Albu A., Petrariu F.D. </w:t>
            </w:r>
            <w:r w:rsidRPr="00FF45B9">
              <w:rPr>
                <w:rFonts w:cs="Trebuchet MS"/>
                <w:i/>
                <w:iCs/>
                <w:color w:val="000000"/>
                <w:szCs w:val="20"/>
              </w:rPr>
              <w:t xml:space="preserve">Alimentația şi mediul de viață în relație cu dezvoltarea copiilor şi a tinerilor, </w:t>
            </w:r>
            <w:r w:rsidRPr="00FF45B9">
              <w:rPr>
                <w:rFonts w:cs="Trebuchet MS"/>
                <w:color w:val="000000"/>
                <w:szCs w:val="20"/>
              </w:rPr>
              <w:t xml:space="preserve">Iaşi: Editura „Gr. T. Popa”, 2006. </w:t>
            </w:r>
          </w:p>
          <w:p w:rsidR="00FF45B9" w:rsidRPr="007A5543" w:rsidRDefault="00FF45B9" w:rsidP="007A5543">
            <w:pPr>
              <w:autoSpaceDE w:val="0"/>
              <w:autoSpaceDN w:val="0"/>
              <w:adjustRightInd w:val="0"/>
              <w:spacing w:line="240" w:lineRule="auto"/>
              <w:rPr>
                <w:rFonts w:cs="Trebuchet MS"/>
                <w:color w:val="000000"/>
                <w:szCs w:val="20"/>
              </w:rPr>
            </w:pPr>
            <w:r w:rsidRPr="00FF45B9">
              <w:rPr>
                <w:rFonts w:cs="Trebuchet MS"/>
                <w:color w:val="000000"/>
                <w:szCs w:val="20"/>
              </w:rPr>
              <w:t xml:space="preserve">5. Gavăt V. </w:t>
            </w:r>
            <w:r w:rsidRPr="00FF45B9">
              <w:rPr>
                <w:rFonts w:cs="Trebuchet MS"/>
                <w:i/>
                <w:iCs/>
                <w:color w:val="000000"/>
                <w:szCs w:val="20"/>
              </w:rPr>
              <w:t xml:space="preserve">Sănătatea mediului şi implicațiile sale în medicină, </w:t>
            </w:r>
            <w:r w:rsidRPr="00FF45B9">
              <w:rPr>
                <w:rFonts w:cs="Trebuchet MS"/>
                <w:color w:val="000000"/>
                <w:szCs w:val="20"/>
              </w:rPr>
              <w:t xml:space="preserve">Iaşi: Editura „Gr. T. Popa”, 2007. </w:t>
            </w:r>
          </w:p>
        </w:tc>
      </w:tr>
      <w:tr w:rsidR="00830AAE" w:rsidTr="007A5543">
        <w:trPr>
          <w:trHeight w:val="305"/>
        </w:trPr>
        <w:tc>
          <w:tcPr>
            <w:tcW w:w="9969" w:type="dxa"/>
          </w:tcPr>
          <w:p w:rsidR="00830AAE" w:rsidRDefault="006B7D20" w:rsidP="006D03C7">
            <w:pPr>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7A5543">
        <w:trPr>
          <w:trHeight w:val="429"/>
        </w:trPr>
        <w:tc>
          <w:tcPr>
            <w:tcW w:w="9969" w:type="dxa"/>
          </w:tcPr>
          <w:p w:rsidR="00830AAE" w:rsidRDefault="00FF45B9" w:rsidP="006D03C7">
            <w:pPr>
              <w:jc w:val="both"/>
              <w:rPr>
                <w:rFonts w:asciiTheme="majorHAnsi" w:hAnsiTheme="majorHAnsi" w:cs="TimesNewRoman,Bold"/>
                <w:bCs/>
                <w:szCs w:val="20"/>
                <w:lang w:bidi="ne-NP"/>
              </w:rPr>
            </w:pPr>
            <w:r w:rsidRPr="00FF45B9">
              <w:rPr>
                <w:rFonts w:asciiTheme="majorHAnsi" w:hAnsiTheme="majorHAnsi" w:cs="TimesNewRoman,Bold"/>
                <w:bCs/>
                <w:szCs w:val="20"/>
                <w:lang w:bidi="ne-NP"/>
              </w:rPr>
              <w:t xml:space="preserve">7. </w:t>
            </w:r>
            <w:hyperlink r:id="rId12" w:history="1">
              <w:r w:rsidR="00484117" w:rsidRPr="00DD7D5A">
                <w:rPr>
                  <w:rStyle w:val="Hyperlink"/>
                  <w:rFonts w:asciiTheme="majorHAnsi" w:hAnsiTheme="majorHAnsi" w:cs="TimesNewRoman,Bold"/>
                  <w:bCs/>
                  <w:szCs w:val="20"/>
                  <w:lang w:bidi="ne-NP"/>
                </w:rPr>
                <w:t>https://www.cdc.gov/nceh/publications/books/housing/cha02.htm</w:t>
              </w:r>
            </w:hyperlink>
          </w:p>
          <w:p w:rsidR="00484117" w:rsidRPr="00484117" w:rsidRDefault="00484117" w:rsidP="00484117">
            <w:pPr>
              <w:spacing w:line="240" w:lineRule="auto"/>
              <w:rPr>
                <w:rFonts w:asciiTheme="majorHAnsi" w:eastAsia="Times New Roman" w:hAnsiTheme="majorHAnsi"/>
                <w:color w:val="000000"/>
              </w:rPr>
            </w:pPr>
            <w:r>
              <w:rPr>
                <w:rFonts w:asciiTheme="majorHAnsi" w:hAnsiTheme="majorHAnsi" w:cs="TimesNewRoman,Bold"/>
                <w:bCs/>
                <w:szCs w:val="20"/>
                <w:lang w:bidi="ne-NP"/>
              </w:rPr>
              <w:t xml:space="preserve">8. </w:t>
            </w:r>
            <w:r w:rsidRPr="00484117">
              <w:rPr>
                <w:rFonts w:asciiTheme="majorHAnsi" w:eastAsia="Times New Roman" w:hAnsiTheme="majorHAnsi"/>
                <w:color w:val="000000"/>
              </w:rPr>
              <w:t xml:space="preserve">Florin Petrariu, Adriana Albu, Hygiène – santé environnementale – Notes de cours, </w:t>
            </w:r>
            <w:r w:rsidRPr="00484117">
              <w:rPr>
                <w:rFonts w:asciiTheme="majorHAnsi" w:eastAsia="Times New Roman" w:hAnsiTheme="majorHAnsi"/>
              </w:rPr>
              <w:t>edit ,,Gr.T.Popa” UMF Iasi 2015</w:t>
            </w:r>
          </w:p>
          <w:p w:rsidR="00484117" w:rsidRDefault="00484117" w:rsidP="006D03C7">
            <w:pPr>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4997"/>
        <w:gridCol w:w="1891"/>
        <w:gridCol w:w="1340"/>
      </w:tblGrid>
      <w:tr w:rsidR="00621AF2" w:rsidRPr="008C0CCD" w:rsidTr="007A5543">
        <w:trPr>
          <w:jc w:val="center"/>
        </w:trPr>
        <w:tc>
          <w:tcPr>
            <w:tcW w:w="1814" w:type="dxa"/>
            <w:shd w:val="clear" w:color="auto" w:fill="F2F2F2" w:themeFill="background1" w:themeFillShade="F2"/>
            <w:vAlign w:val="center"/>
          </w:tcPr>
          <w:p w:rsidR="00CF6B2D" w:rsidRPr="008C0CCD" w:rsidRDefault="00EF00DF" w:rsidP="007A5543">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997" w:type="dxa"/>
            <w:shd w:val="clear" w:color="auto" w:fill="F2F2F2" w:themeFill="background1" w:themeFillShade="F2"/>
            <w:vAlign w:val="center"/>
          </w:tcPr>
          <w:p w:rsidR="00CF6B2D" w:rsidRPr="008C0CCD" w:rsidRDefault="00D750EE" w:rsidP="007A5543">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1891" w:type="dxa"/>
            <w:shd w:val="clear" w:color="auto" w:fill="F2F2F2" w:themeFill="background1" w:themeFillShade="F2"/>
            <w:vAlign w:val="center"/>
          </w:tcPr>
          <w:p w:rsidR="00CF6B2D" w:rsidRPr="008C0CCD" w:rsidRDefault="00EF00DF" w:rsidP="007A5543">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340" w:type="dxa"/>
            <w:shd w:val="clear" w:color="auto" w:fill="F2F2F2" w:themeFill="background1" w:themeFillShade="F2"/>
          </w:tcPr>
          <w:p w:rsidR="00CF6B2D" w:rsidRPr="008C0CCD" w:rsidRDefault="00EF00DF" w:rsidP="007A5543">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7A5543">
        <w:trPr>
          <w:jc w:val="center"/>
        </w:trPr>
        <w:tc>
          <w:tcPr>
            <w:tcW w:w="1814" w:type="dxa"/>
            <w:shd w:val="clear" w:color="auto" w:fill="auto"/>
            <w:vAlign w:val="center"/>
          </w:tcPr>
          <w:p w:rsidR="00BE78D8" w:rsidRPr="008C0CCD" w:rsidRDefault="00D750EE" w:rsidP="007A5543">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997" w:type="dxa"/>
            <w:shd w:val="clear" w:color="auto" w:fill="auto"/>
            <w:vAlign w:val="center"/>
          </w:tcPr>
          <w:p w:rsidR="00BE78D8" w:rsidRPr="008C0CCD" w:rsidRDefault="00EF00DF" w:rsidP="007A5543">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1891" w:type="dxa"/>
            <w:shd w:val="clear" w:color="auto" w:fill="auto"/>
            <w:vAlign w:val="center"/>
          </w:tcPr>
          <w:p w:rsidR="007730B0" w:rsidRDefault="00EF00DF" w:rsidP="007A5543">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7A5543">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340" w:type="dxa"/>
            <w:shd w:val="clear" w:color="auto" w:fill="auto"/>
            <w:vAlign w:val="center"/>
          </w:tcPr>
          <w:p w:rsidR="00BE78D8" w:rsidRPr="008C0CCD" w:rsidRDefault="00EF00DF" w:rsidP="007A5543">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7A5543">
        <w:trPr>
          <w:jc w:val="center"/>
        </w:trPr>
        <w:tc>
          <w:tcPr>
            <w:tcW w:w="1814" w:type="dxa"/>
            <w:shd w:val="clear" w:color="auto" w:fill="auto"/>
            <w:vAlign w:val="center"/>
          </w:tcPr>
          <w:p w:rsidR="00621AF2" w:rsidRPr="008C0CCD" w:rsidRDefault="00D750EE" w:rsidP="007A5543">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997" w:type="dxa"/>
            <w:shd w:val="clear" w:color="auto" w:fill="auto"/>
            <w:vAlign w:val="center"/>
          </w:tcPr>
          <w:p w:rsidR="00621AF2" w:rsidRPr="008C0CCD" w:rsidRDefault="00EF00DF" w:rsidP="007A5543">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1891" w:type="dxa"/>
            <w:shd w:val="clear" w:color="auto" w:fill="auto"/>
            <w:vAlign w:val="center"/>
          </w:tcPr>
          <w:p w:rsidR="00621AF2" w:rsidRPr="008C0CCD" w:rsidRDefault="00EF00DF" w:rsidP="007A5543">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340" w:type="dxa"/>
            <w:shd w:val="clear" w:color="auto" w:fill="auto"/>
            <w:vAlign w:val="center"/>
          </w:tcPr>
          <w:p w:rsidR="00621AF2" w:rsidRPr="008C0CCD" w:rsidRDefault="00EF00DF" w:rsidP="007A5543">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7A5543">
        <w:trPr>
          <w:jc w:val="center"/>
        </w:trPr>
        <w:tc>
          <w:tcPr>
            <w:tcW w:w="1814" w:type="dxa"/>
            <w:shd w:val="clear" w:color="auto" w:fill="auto"/>
            <w:vAlign w:val="center"/>
          </w:tcPr>
          <w:p w:rsidR="00D91AB7" w:rsidRPr="008C0CCD" w:rsidRDefault="00EF00DF" w:rsidP="007A5543">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997" w:type="dxa"/>
            <w:shd w:val="clear" w:color="auto" w:fill="auto"/>
            <w:vAlign w:val="center"/>
          </w:tcPr>
          <w:p w:rsidR="00EF00DF" w:rsidRPr="00EF00DF" w:rsidRDefault="00EF00DF" w:rsidP="007A5543">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7A5543">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1891" w:type="dxa"/>
            <w:shd w:val="clear" w:color="auto" w:fill="auto"/>
            <w:vAlign w:val="center"/>
          </w:tcPr>
          <w:p w:rsidR="00D91AB7" w:rsidRPr="008C0CCD" w:rsidRDefault="00EF00DF" w:rsidP="007A5543">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340" w:type="dxa"/>
            <w:shd w:val="clear" w:color="auto" w:fill="auto"/>
            <w:vAlign w:val="center"/>
          </w:tcPr>
          <w:p w:rsidR="00D91AB7" w:rsidRPr="008C0CCD" w:rsidRDefault="00EF00DF" w:rsidP="007A5543">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7A5543">
        <w:trPr>
          <w:trHeight w:val="714"/>
          <w:jc w:val="center"/>
        </w:trPr>
        <w:tc>
          <w:tcPr>
            <w:tcW w:w="10042" w:type="dxa"/>
            <w:gridSpan w:val="4"/>
            <w:shd w:val="clear" w:color="auto" w:fill="auto"/>
          </w:tcPr>
          <w:p w:rsidR="00E65D16" w:rsidRPr="00D91AB7" w:rsidRDefault="00EF00DF" w:rsidP="007A5543">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FF45B9" w:rsidRPr="007A5543" w:rsidRDefault="00FF45B9" w:rsidP="007A5543">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Developing a food/nutrional survey.</w:t>
            </w:r>
            <w:r w:rsidR="007A5543">
              <w:rPr>
                <w:rFonts w:asciiTheme="majorHAnsi" w:hAnsiTheme="majorHAnsi" w:cs="TimesNewRoman"/>
                <w:szCs w:val="20"/>
                <w:lang w:bidi="ne-NP"/>
              </w:rPr>
              <w:t xml:space="preserve"> </w:t>
            </w:r>
            <w:r w:rsidRPr="007A5543">
              <w:rPr>
                <w:rFonts w:asciiTheme="majorHAnsi" w:hAnsiTheme="majorHAnsi" w:cs="TimesNewRoman"/>
                <w:szCs w:val="20"/>
                <w:lang w:bidi="ne-NP"/>
              </w:rPr>
              <w:t>Assessing air and water quality.</w:t>
            </w:r>
          </w:p>
          <w:p w:rsidR="00E65D16" w:rsidRPr="009651D7" w:rsidRDefault="00FF45B9" w:rsidP="007A5543">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B2798B">
              <w:rPr>
                <w:rFonts w:asciiTheme="majorHAnsi" w:hAnsiTheme="majorHAnsi" w:cs="TimesNewRoman"/>
                <w:szCs w:val="20"/>
                <w:lang w:bidi="ne-NP"/>
              </w:rPr>
              <w:t xml:space="preserve">Performing a </w:t>
            </w:r>
            <w:r w:rsidRPr="00B2798B">
              <w:rPr>
                <w:rFonts w:asciiTheme="minorHAnsi" w:hAnsiTheme="minorHAnsi"/>
                <w:szCs w:val="20"/>
                <w:lang w:val="en"/>
              </w:rPr>
              <w:t>correlative assessment of physical development of children and teenagers.</w:t>
            </w:r>
          </w:p>
        </w:tc>
      </w:tr>
    </w:tbl>
    <w:p w:rsidR="000F24AD" w:rsidRDefault="007A5543"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EB54AD"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13.09</w:t>
            </w:r>
            <w:r w:rsidR="00D766D4">
              <w:rPr>
                <w:rFonts w:asciiTheme="majorHAnsi" w:hAnsiTheme="majorHAnsi" w:cs="TimesNewRoman"/>
                <w:szCs w:val="20"/>
                <w:lang w:bidi="ne-NP"/>
              </w:rPr>
              <w:t>.2024</w:t>
            </w:r>
          </w:p>
        </w:tc>
        <w:tc>
          <w:tcPr>
            <w:tcW w:w="3870" w:type="dxa"/>
          </w:tcPr>
          <w:p w:rsidR="001C6702" w:rsidRDefault="009651D7" w:rsidP="00AB2E3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Professor Florin Petrariu, MD, PhD</w:t>
            </w:r>
          </w:p>
          <w:p w:rsidR="009651D7" w:rsidRPr="000C7BDB" w:rsidRDefault="009651D7" w:rsidP="00AB2E3B">
            <w:pPr>
              <w:autoSpaceDE w:val="0"/>
              <w:autoSpaceDN w:val="0"/>
              <w:adjustRightInd w:val="0"/>
              <w:rPr>
                <w:rFonts w:asciiTheme="majorHAnsi" w:hAnsiTheme="majorHAnsi" w:cs="TimesNewRoman"/>
                <w:szCs w:val="20"/>
                <w:lang w:bidi="ne-NP"/>
              </w:rPr>
            </w:pPr>
          </w:p>
        </w:tc>
        <w:tc>
          <w:tcPr>
            <w:tcW w:w="4176" w:type="dxa"/>
          </w:tcPr>
          <w:p w:rsidR="009651D7" w:rsidRDefault="009651D7" w:rsidP="009651D7">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Professor Florin Petrariu, MD, PhD</w:t>
            </w:r>
          </w:p>
          <w:p w:rsidR="001C6702" w:rsidRPr="000C7BDB" w:rsidRDefault="001C6702" w:rsidP="00AB2E3B">
            <w:pPr>
              <w:autoSpaceDE w:val="0"/>
              <w:autoSpaceDN w:val="0"/>
              <w:adjustRightInd w:val="0"/>
              <w:rPr>
                <w:rFonts w:asciiTheme="majorHAnsi" w:hAnsiTheme="majorHAnsi" w:cs="TimesNewRoman"/>
                <w:szCs w:val="20"/>
                <w:lang w:bidi="ne-NP"/>
              </w:rPr>
            </w:pPr>
          </w:p>
        </w:tc>
      </w:tr>
    </w:tbl>
    <w:p w:rsidR="000C7BDB" w:rsidRDefault="000C7BDB" w:rsidP="00CF6B2D">
      <w:pPr>
        <w:autoSpaceDE w:val="0"/>
        <w:autoSpaceDN w:val="0"/>
        <w:adjustRightInd w:val="0"/>
        <w:rPr>
          <w:rFonts w:asciiTheme="majorHAnsi" w:hAnsiTheme="majorHAnsi" w:cs="TimesNewRoman"/>
          <w:szCs w:val="20"/>
          <w:lang w:bidi="ne-NP"/>
        </w:rPr>
      </w:pPr>
    </w:p>
    <w:p w:rsidR="007730B0" w:rsidRDefault="007730B0" w:rsidP="00CF6B2D">
      <w:pPr>
        <w:autoSpaceDE w:val="0"/>
        <w:autoSpaceDN w:val="0"/>
        <w:adjustRightInd w:val="0"/>
        <w:rPr>
          <w:rFonts w:asciiTheme="majorHAnsi" w:hAnsiTheme="majorHAnsi" w:cs="TimesNewRoman"/>
          <w:szCs w:val="20"/>
          <w:lang w:bidi="ne-NP"/>
        </w:rPr>
      </w:pPr>
    </w:p>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D766D4"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EB54AD">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0C7BDB" w:rsidRDefault="009651D7"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Associate Professor</w:t>
            </w:r>
            <w:r w:rsidR="00EF00DF">
              <w:rPr>
                <w:rFonts w:asciiTheme="majorHAnsi" w:hAnsiTheme="majorHAnsi" w:cs="TimesNewRoman"/>
                <w:szCs w:val="20"/>
                <w:lang w:bidi="ne-NP"/>
              </w:rPr>
              <w:t xml:space="preserve"> Daniela-Viorelia Matei</w:t>
            </w:r>
            <w:r>
              <w:rPr>
                <w:rFonts w:asciiTheme="majorHAnsi" w:hAnsiTheme="majorHAnsi" w:cs="TimesNewRoman"/>
                <w:szCs w:val="20"/>
                <w:lang w:bidi="ne-NP"/>
              </w:rPr>
              <w:t>, MD, PhD</w:t>
            </w:r>
          </w:p>
          <w:p w:rsidR="009651D7" w:rsidRDefault="009651D7" w:rsidP="00B21FD5">
            <w:pPr>
              <w:autoSpaceDE w:val="0"/>
              <w:autoSpaceDN w:val="0"/>
              <w:adjustRightInd w:val="0"/>
              <w:rPr>
                <w:rFonts w:asciiTheme="majorHAnsi" w:hAnsiTheme="majorHAnsi" w:cs="TimesNewRoman"/>
                <w:szCs w:val="20"/>
                <w:lang w:bidi="ne-NP"/>
              </w:rPr>
            </w:pPr>
          </w:p>
        </w:tc>
      </w:tr>
    </w:tbl>
    <w:p w:rsidR="00D43601" w:rsidRDefault="00D43601" w:rsidP="000C7BDB">
      <w:pPr>
        <w:autoSpaceDE w:val="0"/>
        <w:autoSpaceDN w:val="0"/>
        <w:adjustRightInd w:val="0"/>
        <w:ind w:left="5664"/>
        <w:rPr>
          <w:rFonts w:asciiTheme="majorHAnsi" w:hAnsiTheme="majorHAnsi" w:cs="TimesNewRoman"/>
          <w:szCs w:val="20"/>
          <w:lang w:bidi="ne-NP"/>
        </w:rPr>
      </w:pPr>
      <w:bookmarkStart w:id="0" w:name="_GoBack"/>
      <w:bookmarkEnd w:id="0"/>
    </w:p>
    <w:sectPr w:rsidR="00D43601" w:rsidSect="00AB2E3B">
      <w:footerReference w:type="default" r:id="rId13"/>
      <w:headerReference w:type="first" r:id="rId14"/>
      <w:footerReference w:type="first" r:id="rId15"/>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496" w:rsidRDefault="002D6496" w:rsidP="003620AC">
      <w:pPr>
        <w:spacing w:line="240" w:lineRule="auto"/>
      </w:pPr>
      <w:r>
        <w:separator/>
      </w:r>
    </w:p>
  </w:endnote>
  <w:endnote w:type="continuationSeparator" w:id="0">
    <w:p w:rsidR="002D6496" w:rsidRDefault="002D6496"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47586F">
                            <w:rPr>
                              <w:noProof/>
                              <w:color w:val="7F7F7F" w:themeColor="text1" w:themeTint="80"/>
                            </w:rPr>
                            <w:t>3</w:t>
                          </w:r>
                          <w:r w:rsidRPr="00A314B1">
                            <w:rPr>
                              <w:color w:val="7F7F7F" w:themeColor="text1" w:themeTint="80"/>
                            </w:rPr>
                            <w:fldChar w:fldCharType="end"/>
                          </w:r>
                          <w:r>
                            <w:t xml:space="preserve"> din </w:t>
                          </w:r>
                          <w:r w:rsidR="002D6496">
                            <w:fldChar w:fldCharType="begin"/>
                          </w:r>
                          <w:r w:rsidR="002D6496">
                            <w:instrText xml:space="preserve"> NUMPAGES   \* MERGEFORMAT </w:instrText>
                          </w:r>
                          <w:r w:rsidR="002D6496">
                            <w:fldChar w:fldCharType="separate"/>
                          </w:r>
                          <w:r w:rsidR="0047586F">
                            <w:rPr>
                              <w:noProof/>
                            </w:rPr>
                            <w:t>3</w:t>
                          </w:r>
                          <w:r w:rsidR="002D6496">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47586F">
                      <w:rPr>
                        <w:noProof/>
                        <w:color w:val="7F7F7F" w:themeColor="text1" w:themeTint="80"/>
                      </w:rPr>
                      <w:t>3</w:t>
                    </w:r>
                    <w:r w:rsidRPr="00A314B1">
                      <w:rPr>
                        <w:color w:val="7F7F7F" w:themeColor="text1" w:themeTint="80"/>
                      </w:rPr>
                      <w:fldChar w:fldCharType="end"/>
                    </w:r>
                    <w:r>
                      <w:t xml:space="preserve"> din </w:t>
                    </w:r>
                    <w:r w:rsidR="002D6496">
                      <w:fldChar w:fldCharType="begin"/>
                    </w:r>
                    <w:r w:rsidR="002D6496">
                      <w:instrText xml:space="preserve"> NUMPAGES   \* MERGEFORMAT </w:instrText>
                    </w:r>
                    <w:r w:rsidR="002D6496">
                      <w:fldChar w:fldCharType="separate"/>
                    </w:r>
                    <w:r w:rsidR="0047586F">
                      <w:rPr>
                        <w:noProof/>
                      </w:rPr>
                      <w:t>3</w:t>
                    </w:r>
                    <w:r w:rsidR="002D6496">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A00AE">
                            <w:rPr>
                              <w:noProof/>
                              <w:color w:val="7F7F7F" w:themeColor="text1" w:themeTint="80"/>
                            </w:rPr>
                            <w:t>1</w:t>
                          </w:r>
                          <w:r w:rsidRPr="00A314B1">
                            <w:rPr>
                              <w:color w:val="7F7F7F" w:themeColor="text1" w:themeTint="80"/>
                            </w:rPr>
                            <w:fldChar w:fldCharType="end"/>
                          </w:r>
                          <w:r>
                            <w:t xml:space="preserve"> din </w:t>
                          </w:r>
                          <w:r w:rsidR="002D6496">
                            <w:fldChar w:fldCharType="begin"/>
                          </w:r>
                          <w:r w:rsidR="002D6496">
                            <w:instrText xml:space="preserve"> NUMPAGES   \* MERGEFORMAT </w:instrText>
                          </w:r>
                          <w:r w:rsidR="002D6496">
                            <w:fldChar w:fldCharType="separate"/>
                          </w:r>
                          <w:r w:rsidR="006A00AE">
                            <w:rPr>
                              <w:noProof/>
                            </w:rPr>
                            <w:t>1</w:t>
                          </w:r>
                          <w:r w:rsidR="002D6496">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A00AE">
                      <w:rPr>
                        <w:noProof/>
                        <w:color w:val="7F7F7F" w:themeColor="text1" w:themeTint="80"/>
                      </w:rPr>
                      <w:t>1</w:t>
                    </w:r>
                    <w:r w:rsidRPr="00A314B1">
                      <w:rPr>
                        <w:color w:val="7F7F7F" w:themeColor="text1" w:themeTint="80"/>
                      </w:rPr>
                      <w:fldChar w:fldCharType="end"/>
                    </w:r>
                    <w:r>
                      <w:t xml:space="preserve"> din </w:t>
                    </w:r>
                    <w:r w:rsidR="002D6496">
                      <w:fldChar w:fldCharType="begin"/>
                    </w:r>
                    <w:r w:rsidR="002D6496">
                      <w:instrText xml:space="preserve"> NUMPAGES   \* MERGEFORMAT </w:instrText>
                    </w:r>
                    <w:r w:rsidR="002D6496">
                      <w:fldChar w:fldCharType="separate"/>
                    </w:r>
                    <w:r w:rsidR="006A00AE">
                      <w:rPr>
                        <w:noProof/>
                      </w:rPr>
                      <w:t>1</w:t>
                    </w:r>
                    <w:r w:rsidR="002D6496">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496" w:rsidRDefault="002D6496" w:rsidP="003620AC">
      <w:pPr>
        <w:spacing w:line="240" w:lineRule="auto"/>
      </w:pPr>
      <w:r>
        <w:separator/>
      </w:r>
    </w:p>
  </w:footnote>
  <w:footnote w:type="continuationSeparator" w:id="0">
    <w:p w:rsidR="002D6496" w:rsidRDefault="002D6496"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1D55A0"/>
    <w:multiLevelType w:val="hybridMultilevel"/>
    <w:tmpl w:val="FC0E6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D5422A"/>
    <w:multiLevelType w:val="hybridMultilevel"/>
    <w:tmpl w:val="0DE20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07A6B"/>
    <w:rsid w:val="0002629E"/>
    <w:rsid w:val="00027D52"/>
    <w:rsid w:val="00031B5A"/>
    <w:rsid w:val="00037F78"/>
    <w:rsid w:val="00040178"/>
    <w:rsid w:val="00041200"/>
    <w:rsid w:val="0004396B"/>
    <w:rsid w:val="000441B0"/>
    <w:rsid w:val="00046B6C"/>
    <w:rsid w:val="0006171D"/>
    <w:rsid w:val="000657D1"/>
    <w:rsid w:val="00066EC6"/>
    <w:rsid w:val="0008386E"/>
    <w:rsid w:val="00096232"/>
    <w:rsid w:val="000A20CC"/>
    <w:rsid w:val="000B4404"/>
    <w:rsid w:val="000C40FD"/>
    <w:rsid w:val="000C487C"/>
    <w:rsid w:val="000C69A9"/>
    <w:rsid w:val="000C7BDB"/>
    <w:rsid w:val="000E77C0"/>
    <w:rsid w:val="000F24AD"/>
    <w:rsid w:val="000F6B2B"/>
    <w:rsid w:val="00112ABC"/>
    <w:rsid w:val="00113F10"/>
    <w:rsid w:val="00116327"/>
    <w:rsid w:val="00117E90"/>
    <w:rsid w:val="00123697"/>
    <w:rsid w:val="00130E44"/>
    <w:rsid w:val="00132BC0"/>
    <w:rsid w:val="001336B1"/>
    <w:rsid w:val="001564D8"/>
    <w:rsid w:val="00163C51"/>
    <w:rsid w:val="00171AC8"/>
    <w:rsid w:val="00183CB1"/>
    <w:rsid w:val="00187798"/>
    <w:rsid w:val="00187B55"/>
    <w:rsid w:val="00193DF5"/>
    <w:rsid w:val="00197314"/>
    <w:rsid w:val="001A2BE9"/>
    <w:rsid w:val="001A52B1"/>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85EF1"/>
    <w:rsid w:val="00290F76"/>
    <w:rsid w:val="002941DB"/>
    <w:rsid w:val="002943B2"/>
    <w:rsid w:val="00297011"/>
    <w:rsid w:val="00297D1A"/>
    <w:rsid w:val="002A1D57"/>
    <w:rsid w:val="002A5571"/>
    <w:rsid w:val="002D6496"/>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6344"/>
    <w:rsid w:val="00427C81"/>
    <w:rsid w:val="00433BB1"/>
    <w:rsid w:val="00440601"/>
    <w:rsid w:val="00443AAF"/>
    <w:rsid w:val="004505B8"/>
    <w:rsid w:val="00456785"/>
    <w:rsid w:val="0046495B"/>
    <w:rsid w:val="004727E4"/>
    <w:rsid w:val="0047316F"/>
    <w:rsid w:val="0047586F"/>
    <w:rsid w:val="00482ED4"/>
    <w:rsid w:val="00483986"/>
    <w:rsid w:val="00484117"/>
    <w:rsid w:val="00484F5D"/>
    <w:rsid w:val="0049528C"/>
    <w:rsid w:val="004A18B3"/>
    <w:rsid w:val="004A6A98"/>
    <w:rsid w:val="004A6BE1"/>
    <w:rsid w:val="004B2C0C"/>
    <w:rsid w:val="004C5389"/>
    <w:rsid w:val="004F1160"/>
    <w:rsid w:val="004F4D8F"/>
    <w:rsid w:val="004F7D77"/>
    <w:rsid w:val="005013D1"/>
    <w:rsid w:val="00502649"/>
    <w:rsid w:val="00505884"/>
    <w:rsid w:val="0052621D"/>
    <w:rsid w:val="00530019"/>
    <w:rsid w:val="00547602"/>
    <w:rsid w:val="00566BCD"/>
    <w:rsid w:val="00567187"/>
    <w:rsid w:val="00576CEC"/>
    <w:rsid w:val="00582BB1"/>
    <w:rsid w:val="005839DD"/>
    <w:rsid w:val="0058790F"/>
    <w:rsid w:val="00587BA6"/>
    <w:rsid w:val="00592D5C"/>
    <w:rsid w:val="00596F5D"/>
    <w:rsid w:val="0059747C"/>
    <w:rsid w:val="005979F3"/>
    <w:rsid w:val="005C75E1"/>
    <w:rsid w:val="005F168D"/>
    <w:rsid w:val="005F62D7"/>
    <w:rsid w:val="005F7489"/>
    <w:rsid w:val="005F7C27"/>
    <w:rsid w:val="0061072E"/>
    <w:rsid w:val="006207C8"/>
    <w:rsid w:val="00621AF2"/>
    <w:rsid w:val="00622996"/>
    <w:rsid w:val="00624DE6"/>
    <w:rsid w:val="00627328"/>
    <w:rsid w:val="00635A34"/>
    <w:rsid w:val="00651621"/>
    <w:rsid w:val="0067305E"/>
    <w:rsid w:val="00675F59"/>
    <w:rsid w:val="00687B2B"/>
    <w:rsid w:val="0069581B"/>
    <w:rsid w:val="006A00AE"/>
    <w:rsid w:val="006A4D55"/>
    <w:rsid w:val="006B02D7"/>
    <w:rsid w:val="006B0BD1"/>
    <w:rsid w:val="006B7D20"/>
    <w:rsid w:val="006C6FE3"/>
    <w:rsid w:val="006D03C7"/>
    <w:rsid w:val="006D5381"/>
    <w:rsid w:val="006E37AC"/>
    <w:rsid w:val="007007AC"/>
    <w:rsid w:val="007156AE"/>
    <w:rsid w:val="00722182"/>
    <w:rsid w:val="00730232"/>
    <w:rsid w:val="007334F1"/>
    <w:rsid w:val="0074448A"/>
    <w:rsid w:val="007456F7"/>
    <w:rsid w:val="007730B0"/>
    <w:rsid w:val="0078171F"/>
    <w:rsid w:val="007914A3"/>
    <w:rsid w:val="00793D81"/>
    <w:rsid w:val="007A5543"/>
    <w:rsid w:val="007B22EE"/>
    <w:rsid w:val="007D2808"/>
    <w:rsid w:val="007D736E"/>
    <w:rsid w:val="007E1F1F"/>
    <w:rsid w:val="007E41EF"/>
    <w:rsid w:val="007E5285"/>
    <w:rsid w:val="00800B18"/>
    <w:rsid w:val="00802A0A"/>
    <w:rsid w:val="00804842"/>
    <w:rsid w:val="008131FF"/>
    <w:rsid w:val="008174A3"/>
    <w:rsid w:val="0082050C"/>
    <w:rsid w:val="00822E8B"/>
    <w:rsid w:val="008250A5"/>
    <w:rsid w:val="00826C19"/>
    <w:rsid w:val="00830AAE"/>
    <w:rsid w:val="00844638"/>
    <w:rsid w:val="008607C1"/>
    <w:rsid w:val="00863C4D"/>
    <w:rsid w:val="00865A3E"/>
    <w:rsid w:val="00867118"/>
    <w:rsid w:val="008A4B48"/>
    <w:rsid w:val="008C0CCD"/>
    <w:rsid w:val="008C5964"/>
    <w:rsid w:val="008D406E"/>
    <w:rsid w:val="008E0432"/>
    <w:rsid w:val="008E13F0"/>
    <w:rsid w:val="008E18B5"/>
    <w:rsid w:val="00907FD4"/>
    <w:rsid w:val="00910019"/>
    <w:rsid w:val="009218A7"/>
    <w:rsid w:val="00922A00"/>
    <w:rsid w:val="00926650"/>
    <w:rsid w:val="009575A9"/>
    <w:rsid w:val="009651D7"/>
    <w:rsid w:val="00970A1F"/>
    <w:rsid w:val="00973D0F"/>
    <w:rsid w:val="009821D2"/>
    <w:rsid w:val="00984233"/>
    <w:rsid w:val="009847B3"/>
    <w:rsid w:val="009913C8"/>
    <w:rsid w:val="00992202"/>
    <w:rsid w:val="00992224"/>
    <w:rsid w:val="009930DA"/>
    <w:rsid w:val="00993891"/>
    <w:rsid w:val="009A4173"/>
    <w:rsid w:val="009A5058"/>
    <w:rsid w:val="009B4D4F"/>
    <w:rsid w:val="009B6D2D"/>
    <w:rsid w:val="009D7CAE"/>
    <w:rsid w:val="00A045E2"/>
    <w:rsid w:val="00A0632E"/>
    <w:rsid w:val="00A10BF9"/>
    <w:rsid w:val="00A158F5"/>
    <w:rsid w:val="00A17EAE"/>
    <w:rsid w:val="00A314B1"/>
    <w:rsid w:val="00A45120"/>
    <w:rsid w:val="00A52389"/>
    <w:rsid w:val="00A61612"/>
    <w:rsid w:val="00A808E1"/>
    <w:rsid w:val="00A85CED"/>
    <w:rsid w:val="00AA110C"/>
    <w:rsid w:val="00AA485A"/>
    <w:rsid w:val="00AB2E3B"/>
    <w:rsid w:val="00AB3C3F"/>
    <w:rsid w:val="00AB52C0"/>
    <w:rsid w:val="00AB6940"/>
    <w:rsid w:val="00AD3B62"/>
    <w:rsid w:val="00AD79E0"/>
    <w:rsid w:val="00AF084E"/>
    <w:rsid w:val="00B04CE9"/>
    <w:rsid w:val="00B06C26"/>
    <w:rsid w:val="00B21FD5"/>
    <w:rsid w:val="00B31065"/>
    <w:rsid w:val="00B3395E"/>
    <w:rsid w:val="00B55609"/>
    <w:rsid w:val="00B70B7A"/>
    <w:rsid w:val="00B71C33"/>
    <w:rsid w:val="00B82963"/>
    <w:rsid w:val="00B85535"/>
    <w:rsid w:val="00BB2FCD"/>
    <w:rsid w:val="00BC159B"/>
    <w:rsid w:val="00BC21AC"/>
    <w:rsid w:val="00BC23D8"/>
    <w:rsid w:val="00BD0368"/>
    <w:rsid w:val="00BD56FA"/>
    <w:rsid w:val="00BD5887"/>
    <w:rsid w:val="00BE78D8"/>
    <w:rsid w:val="00BF064D"/>
    <w:rsid w:val="00C01D5F"/>
    <w:rsid w:val="00C02D15"/>
    <w:rsid w:val="00C05426"/>
    <w:rsid w:val="00C10F40"/>
    <w:rsid w:val="00C23E4D"/>
    <w:rsid w:val="00C25F8E"/>
    <w:rsid w:val="00C33F03"/>
    <w:rsid w:val="00C37DCE"/>
    <w:rsid w:val="00C50FAB"/>
    <w:rsid w:val="00C52104"/>
    <w:rsid w:val="00C53F1A"/>
    <w:rsid w:val="00C71699"/>
    <w:rsid w:val="00C77658"/>
    <w:rsid w:val="00C77790"/>
    <w:rsid w:val="00C828BC"/>
    <w:rsid w:val="00C84F40"/>
    <w:rsid w:val="00C85D28"/>
    <w:rsid w:val="00C955A8"/>
    <w:rsid w:val="00CA6A95"/>
    <w:rsid w:val="00CA79C9"/>
    <w:rsid w:val="00CC50A6"/>
    <w:rsid w:val="00CD7ED0"/>
    <w:rsid w:val="00CE45F1"/>
    <w:rsid w:val="00CE5918"/>
    <w:rsid w:val="00CF6B2D"/>
    <w:rsid w:val="00D00B2C"/>
    <w:rsid w:val="00D019F8"/>
    <w:rsid w:val="00D040EE"/>
    <w:rsid w:val="00D117D0"/>
    <w:rsid w:val="00D126AA"/>
    <w:rsid w:val="00D14670"/>
    <w:rsid w:val="00D14DAF"/>
    <w:rsid w:val="00D2474D"/>
    <w:rsid w:val="00D34F35"/>
    <w:rsid w:val="00D37A66"/>
    <w:rsid w:val="00D40236"/>
    <w:rsid w:val="00D43601"/>
    <w:rsid w:val="00D45CAE"/>
    <w:rsid w:val="00D564FE"/>
    <w:rsid w:val="00D63559"/>
    <w:rsid w:val="00D73F71"/>
    <w:rsid w:val="00D750EE"/>
    <w:rsid w:val="00D7634D"/>
    <w:rsid w:val="00D766D4"/>
    <w:rsid w:val="00D80D60"/>
    <w:rsid w:val="00D86A63"/>
    <w:rsid w:val="00D91AB7"/>
    <w:rsid w:val="00DA48BE"/>
    <w:rsid w:val="00DA7786"/>
    <w:rsid w:val="00DB042C"/>
    <w:rsid w:val="00DB442A"/>
    <w:rsid w:val="00DB4717"/>
    <w:rsid w:val="00DB747A"/>
    <w:rsid w:val="00DC159E"/>
    <w:rsid w:val="00DD26CC"/>
    <w:rsid w:val="00DD647F"/>
    <w:rsid w:val="00DE46A0"/>
    <w:rsid w:val="00DE4E46"/>
    <w:rsid w:val="00DF1156"/>
    <w:rsid w:val="00DF5818"/>
    <w:rsid w:val="00E07EE1"/>
    <w:rsid w:val="00E155DA"/>
    <w:rsid w:val="00E27A4D"/>
    <w:rsid w:val="00E3025A"/>
    <w:rsid w:val="00E30BAE"/>
    <w:rsid w:val="00E3127B"/>
    <w:rsid w:val="00E340E7"/>
    <w:rsid w:val="00E61028"/>
    <w:rsid w:val="00E62BCD"/>
    <w:rsid w:val="00E632FA"/>
    <w:rsid w:val="00E65D16"/>
    <w:rsid w:val="00E856EE"/>
    <w:rsid w:val="00E93C96"/>
    <w:rsid w:val="00E97541"/>
    <w:rsid w:val="00EA52A1"/>
    <w:rsid w:val="00EB5249"/>
    <w:rsid w:val="00EB5461"/>
    <w:rsid w:val="00EB54AD"/>
    <w:rsid w:val="00EC5FC3"/>
    <w:rsid w:val="00EF00DF"/>
    <w:rsid w:val="00F10704"/>
    <w:rsid w:val="00F207A3"/>
    <w:rsid w:val="00F25D0D"/>
    <w:rsid w:val="00F51AE9"/>
    <w:rsid w:val="00F722E0"/>
    <w:rsid w:val="00F81A4E"/>
    <w:rsid w:val="00F969D6"/>
    <w:rsid w:val="00FB3260"/>
    <w:rsid w:val="00FD4306"/>
    <w:rsid w:val="00FD5B3A"/>
    <w:rsid w:val="00FD7AA9"/>
    <w:rsid w:val="00FE3E92"/>
    <w:rsid w:val="00FF45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dc.gov/nceh/publications/books/housing/cha02.ht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1031F2"/>
    <w:rsid w:val="002F174D"/>
    <w:rsid w:val="00404E09"/>
    <w:rsid w:val="005323FE"/>
    <w:rsid w:val="005979CC"/>
    <w:rsid w:val="005C0F5E"/>
    <w:rsid w:val="007503BC"/>
    <w:rsid w:val="007C4169"/>
    <w:rsid w:val="007D5A13"/>
    <w:rsid w:val="009515A7"/>
    <w:rsid w:val="00A97D36"/>
    <w:rsid w:val="00AE1BBD"/>
    <w:rsid w:val="00AE4EE4"/>
    <w:rsid w:val="00BE731A"/>
    <w:rsid w:val="00C76C48"/>
    <w:rsid w:val="00CC27D3"/>
    <w:rsid w:val="00D634A7"/>
    <w:rsid w:val="00DB7C00"/>
    <w:rsid w:val="00E16DA2"/>
    <w:rsid w:val="00F53966"/>
    <w:rsid w:val="00FA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dlc_DocId xmlns="4c155583-69f9-458b-843e-56574a4bdc09">MACCJ7WAEWV6-565203097-873</_dlc_DocId>
    <_dlc_DocIdUrl xmlns="4c155583-69f9-458b-843e-56574a4bdc09">
      <Url>https://www.umfiasi.ro/ro/academic/facultati/bioinginerie-medicala/_layouts/15/DocIdRedir.aspx?ID=MACCJ7WAEWV6-565203097-873</Url>
      <Description>MACCJ7WAEWV6-565203097-873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EAD5A-AC94-4FEF-9065-8397A5041817}"/>
</file>

<file path=customXml/itemProps2.xml><?xml version="1.0" encoding="utf-8"?>
<ds:datastoreItem xmlns:ds="http://schemas.openxmlformats.org/officeDocument/2006/customXml" ds:itemID="{0FCDCBFD-A893-4923-9E7D-4237E8F9F6C3}"/>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13E7FA05-2603-4D30-A73C-FAF2CCDAE1DB}"/>
</file>

<file path=customXml/itemProps5.xml><?xml version="1.0" encoding="utf-8"?>
<ds:datastoreItem xmlns:ds="http://schemas.openxmlformats.org/officeDocument/2006/customXml" ds:itemID="{8D2814D5-AE3B-485A-A811-890339670B18}"/>
</file>

<file path=docProps/app.xml><?xml version="1.0" encoding="utf-8"?>
<Properties xmlns="http://schemas.openxmlformats.org/officeDocument/2006/extended-properties" xmlns:vt="http://schemas.openxmlformats.org/officeDocument/2006/docPropsVTypes">
  <Template>Normal.dotm</Template>
  <TotalTime>0</TotalTime>
  <Pages>1</Pages>
  <Words>1318</Words>
  <Characters>7516</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2024-10-04T07:14:00Z</dcterms:created>
  <dcterms:modified xsi:type="dcterms:W3CDTF">2024-10-04T07:14:00Z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3444095c-a562-4629-b629-b8ac13f6f9c3</vt:lpwstr>
  </property>
</Properties>
</file>